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Layout w:type="fixed"/>
        <w:tblCellMar>
          <w:left w:w="0" w:type="dxa"/>
          <w:right w:w="0" w:type="dxa"/>
        </w:tblCellMar>
        <w:tblLook w:val="01E0" w:firstRow="1" w:lastRow="1" w:firstColumn="1" w:lastColumn="1" w:noHBand="0" w:noVBand="0"/>
      </w:tblPr>
      <w:tblGrid>
        <w:gridCol w:w="6051"/>
        <w:gridCol w:w="3925"/>
      </w:tblGrid>
      <w:tr w:rsidR="00162A4A" w14:paraId="365C7581" w14:textId="77777777">
        <w:trPr>
          <w:trHeight w:val="2007"/>
        </w:trPr>
        <w:tc>
          <w:tcPr>
            <w:tcW w:w="6051" w:type="dxa"/>
          </w:tcPr>
          <w:p w14:paraId="1AA3F092" w14:textId="77777777" w:rsidR="00162A4A" w:rsidRDefault="00162A4A">
            <w:pPr>
              <w:pStyle w:val="TableParagraph"/>
              <w:ind w:left="0"/>
              <w:rPr>
                <w:rFonts w:ascii="Times New Roman"/>
                <w:sz w:val="20"/>
              </w:rPr>
            </w:pPr>
          </w:p>
          <w:p w14:paraId="1E50D081" w14:textId="77777777" w:rsidR="00162A4A" w:rsidRDefault="00162A4A">
            <w:pPr>
              <w:pStyle w:val="TableParagraph"/>
              <w:spacing w:before="2" w:after="1"/>
              <w:ind w:left="0"/>
              <w:rPr>
                <w:rFonts w:ascii="Times New Roman"/>
                <w:sz w:val="19"/>
              </w:rPr>
            </w:pPr>
          </w:p>
          <w:p w14:paraId="1D5BB8EF" w14:textId="77777777" w:rsidR="00162A4A" w:rsidRDefault="00994EAD">
            <w:pPr>
              <w:pStyle w:val="TableParagraph"/>
              <w:ind w:left="344"/>
              <w:rPr>
                <w:rFonts w:ascii="Times New Roman"/>
                <w:sz w:val="20"/>
              </w:rPr>
            </w:pPr>
            <w:r>
              <w:rPr>
                <w:rFonts w:ascii="Times New Roman"/>
                <w:noProof/>
                <w:sz w:val="20"/>
              </w:rPr>
              <w:drawing>
                <wp:inline distT="0" distB="0" distL="0" distR="0" wp14:anchorId="43BE0085" wp14:editId="41FF3CF6">
                  <wp:extent cx="2381250" cy="6331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93888" cy="636500"/>
                          </a:xfrm>
                          <a:prstGeom prst="rect">
                            <a:avLst/>
                          </a:prstGeom>
                        </pic:spPr>
                      </pic:pic>
                    </a:graphicData>
                  </a:graphic>
                </wp:inline>
              </w:drawing>
            </w:r>
          </w:p>
        </w:tc>
        <w:tc>
          <w:tcPr>
            <w:tcW w:w="3925" w:type="dxa"/>
          </w:tcPr>
          <w:p w14:paraId="62D27B05" w14:textId="77777777" w:rsidR="00162A4A" w:rsidRDefault="00162A4A">
            <w:pPr>
              <w:pStyle w:val="TableParagraph"/>
              <w:spacing w:before="3"/>
              <w:ind w:left="0"/>
              <w:rPr>
                <w:rFonts w:ascii="Times New Roman"/>
                <w:sz w:val="36"/>
              </w:rPr>
            </w:pPr>
          </w:p>
          <w:p w14:paraId="10316F2A" w14:textId="77777777" w:rsidR="00771EAC" w:rsidRDefault="00994EAD">
            <w:pPr>
              <w:pStyle w:val="TableParagraph"/>
              <w:ind w:left="1480" w:right="197" w:hanging="689"/>
              <w:jc w:val="right"/>
              <w:rPr>
                <w:b/>
                <w:w w:val="99"/>
                <w:sz w:val="32"/>
              </w:rPr>
            </w:pPr>
            <w:r>
              <w:rPr>
                <w:b/>
                <w:sz w:val="32"/>
              </w:rPr>
              <w:t>Community Pharmacy</w:t>
            </w:r>
            <w:r>
              <w:rPr>
                <w:b/>
                <w:w w:val="99"/>
                <w:sz w:val="32"/>
              </w:rPr>
              <w:t xml:space="preserve"> </w:t>
            </w:r>
          </w:p>
          <w:p w14:paraId="3FC6529F" w14:textId="14F986DA" w:rsidR="00162A4A" w:rsidRDefault="00771EAC">
            <w:pPr>
              <w:pStyle w:val="TableParagraph"/>
              <w:ind w:left="1480" w:right="197" w:hanging="689"/>
              <w:jc w:val="right"/>
              <w:rPr>
                <w:b/>
                <w:sz w:val="32"/>
              </w:rPr>
            </w:pPr>
            <w:r>
              <w:rPr>
                <w:b/>
                <w:w w:val="99"/>
                <w:sz w:val="32"/>
              </w:rPr>
              <w:t xml:space="preserve">Leicestershire and Rutland </w:t>
            </w:r>
            <w:r>
              <w:rPr>
                <w:b/>
                <w:sz w:val="32"/>
              </w:rPr>
              <w:t>Deadline Tracker</w:t>
            </w:r>
            <w:r>
              <w:rPr>
                <w:b/>
                <w:w w:val="99"/>
                <w:sz w:val="32"/>
              </w:rPr>
              <w:t xml:space="preserve"> </w:t>
            </w:r>
            <w:r w:rsidR="00EE3602">
              <w:rPr>
                <w:b/>
                <w:sz w:val="32"/>
              </w:rPr>
              <w:t>June</w:t>
            </w:r>
            <w:r>
              <w:rPr>
                <w:b/>
                <w:sz w:val="32"/>
              </w:rPr>
              <w:t xml:space="preserve"> 2023</w:t>
            </w:r>
          </w:p>
        </w:tc>
      </w:tr>
    </w:tbl>
    <w:p w14:paraId="1414A43E" w14:textId="5BDDCD1C" w:rsidR="00162A4A" w:rsidRDefault="00162A4A">
      <w:pPr>
        <w:pStyle w:val="BodyText"/>
        <w:rPr>
          <w:rFonts w:ascii="Times New Roman"/>
          <w:sz w:val="20"/>
        </w:rPr>
      </w:pPr>
    </w:p>
    <w:p w14:paraId="76ED91D9" w14:textId="77777777" w:rsidR="00162A4A" w:rsidRDefault="00162A4A">
      <w:pPr>
        <w:pStyle w:val="BodyText"/>
        <w:rPr>
          <w:rFonts w:ascii="Times New Roman"/>
        </w:rPr>
      </w:pPr>
    </w:p>
    <w:p w14:paraId="13011BEF" w14:textId="77777777" w:rsidR="00162A4A" w:rsidRDefault="00994EAD">
      <w:pPr>
        <w:pStyle w:val="BodyText"/>
        <w:spacing w:before="56"/>
        <w:ind w:left="200"/>
      </w:pPr>
      <w:r>
        <w:t>If you are part of a pharmacy group or multiple, please liaise with your company managers/head office as necessary.</w:t>
      </w:r>
    </w:p>
    <w:p w14:paraId="2C995B18" w14:textId="77777777" w:rsidR="00162A4A" w:rsidRDefault="00162A4A">
      <w:pPr>
        <w:pStyle w:val="BodyText"/>
        <w:rPr>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0"/>
        <w:gridCol w:w="1843"/>
        <w:gridCol w:w="1559"/>
        <w:gridCol w:w="3544"/>
        <w:gridCol w:w="1764"/>
      </w:tblGrid>
      <w:tr w:rsidR="00C7358F" w14:paraId="2225A6AC"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92D050"/>
          </w:tcPr>
          <w:p w14:paraId="792FD098" w14:textId="77777777" w:rsidR="00C7358F" w:rsidRPr="00C7358F" w:rsidRDefault="00C7358F" w:rsidP="00C7358F">
            <w:pPr>
              <w:pStyle w:val="TableParagraph"/>
              <w:spacing w:before="133"/>
              <w:ind w:left="388"/>
              <w:rPr>
                <w:b/>
                <w:color w:val="FFFFFF"/>
              </w:rPr>
            </w:pPr>
            <w:r w:rsidRPr="00C7358F">
              <w:rPr>
                <w:b/>
                <w:color w:val="FFFFFF"/>
              </w:rPr>
              <w:t>SUBJECT</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3A625313" w14:textId="77777777" w:rsidR="00C7358F" w:rsidRPr="00C7358F" w:rsidRDefault="00C7358F" w:rsidP="00C7358F">
            <w:pPr>
              <w:pStyle w:val="TableParagraph"/>
              <w:spacing w:before="147"/>
              <w:ind w:left="155"/>
              <w:rPr>
                <w:b/>
                <w:color w:val="FFFFFF"/>
                <w:sz w:val="20"/>
              </w:rPr>
            </w:pPr>
            <w:r w:rsidRPr="00C7358F">
              <w:rPr>
                <w:b/>
                <w:color w:val="FFFFFF"/>
                <w:sz w:val="20"/>
              </w:rPr>
              <w:t>REQUIREMENT</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6919E37B" w14:textId="77777777" w:rsidR="00C7358F" w:rsidRPr="00C7358F" w:rsidRDefault="00C7358F" w:rsidP="00C7358F">
            <w:pPr>
              <w:pStyle w:val="TableParagraph"/>
              <w:spacing w:before="147"/>
              <w:ind w:left="217"/>
              <w:rPr>
                <w:b/>
                <w:color w:val="FFFFFF"/>
                <w:sz w:val="20"/>
              </w:rPr>
            </w:pPr>
            <w:r w:rsidRPr="00C7358F">
              <w:rPr>
                <w:b/>
                <w:color w:val="FFFFFF"/>
                <w:sz w:val="20"/>
              </w:rPr>
              <w:t>DEADLINE</w:t>
            </w:r>
          </w:p>
        </w:tc>
        <w:tc>
          <w:tcPr>
            <w:tcW w:w="3544" w:type="dxa"/>
            <w:tcBorders>
              <w:top w:val="single" w:sz="4" w:space="0" w:color="000000"/>
              <w:left w:val="single" w:sz="4" w:space="0" w:color="000000"/>
              <w:bottom w:val="single" w:sz="4" w:space="0" w:color="000000"/>
              <w:right w:val="single" w:sz="4" w:space="0" w:color="000000"/>
            </w:tcBorders>
            <w:shd w:val="clear" w:color="auto" w:fill="92D050"/>
          </w:tcPr>
          <w:p w14:paraId="2138CEE3" w14:textId="77777777" w:rsidR="00C7358F" w:rsidRPr="00C7358F" w:rsidRDefault="00C7358F" w:rsidP="00771EAC">
            <w:pPr>
              <w:pStyle w:val="TableParagraph"/>
              <w:spacing w:before="133"/>
              <w:jc w:val="center"/>
              <w:rPr>
                <w:b/>
                <w:color w:val="FFFFFF"/>
              </w:rPr>
            </w:pPr>
            <w:r>
              <w:rPr>
                <w:b/>
                <w:color w:val="FFFFFF"/>
              </w:rPr>
              <w:t>ACTIONS</w:t>
            </w:r>
            <w:r w:rsidRPr="00C7358F">
              <w:rPr>
                <w:b/>
                <w:color w:val="FFFFFF"/>
              </w:rPr>
              <w:t xml:space="preserve"> </w:t>
            </w:r>
            <w:r>
              <w:rPr>
                <w:b/>
                <w:color w:val="FFFFFF"/>
              </w:rPr>
              <w:t>AND</w:t>
            </w:r>
            <w:r w:rsidRPr="00C7358F">
              <w:rPr>
                <w:b/>
                <w:color w:val="FFFFFF"/>
              </w:rPr>
              <w:t xml:space="preserve"> LINKS</w:t>
            </w:r>
          </w:p>
        </w:tc>
        <w:tc>
          <w:tcPr>
            <w:tcW w:w="1764" w:type="dxa"/>
            <w:tcBorders>
              <w:top w:val="single" w:sz="4" w:space="0" w:color="000000"/>
              <w:left w:val="single" w:sz="4" w:space="0" w:color="000000"/>
              <w:bottom w:val="single" w:sz="4" w:space="0" w:color="000000"/>
              <w:right w:val="single" w:sz="4" w:space="0" w:color="000000"/>
            </w:tcBorders>
            <w:shd w:val="clear" w:color="auto" w:fill="92D050"/>
          </w:tcPr>
          <w:p w14:paraId="1B658ED8" w14:textId="77777777" w:rsidR="00C7358F" w:rsidRPr="00C7358F" w:rsidRDefault="00C7358F" w:rsidP="00771EAC">
            <w:pPr>
              <w:pStyle w:val="TableParagraph"/>
              <w:spacing w:line="268" w:lineRule="exact"/>
              <w:ind w:left="182"/>
              <w:rPr>
                <w:b/>
                <w:color w:val="FFFFFF"/>
              </w:rPr>
            </w:pPr>
            <w:r>
              <w:rPr>
                <w:b/>
                <w:color w:val="FFFFFF"/>
              </w:rPr>
              <w:t xml:space="preserve">TICK WHEN </w:t>
            </w:r>
            <w:r w:rsidRPr="00C7358F">
              <w:rPr>
                <w:b/>
                <w:color w:val="FFFFFF"/>
              </w:rPr>
              <w:t>COMPLETED</w:t>
            </w:r>
          </w:p>
        </w:tc>
      </w:tr>
      <w:tr w:rsidR="00771EAC" w14:paraId="447C036A"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50A4FF4E" w14:textId="6F2D5BFD" w:rsidR="00771EAC" w:rsidRPr="00C7358F" w:rsidRDefault="00771EAC" w:rsidP="00C7358F">
            <w:pPr>
              <w:pStyle w:val="TableParagraph"/>
              <w:ind w:left="107" w:right="239"/>
              <w:rPr>
                <w:color w:val="000000" w:themeColor="text1"/>
              </w:rPr>
            </w:pPr>
            <w:r>
              <w:rPr>
                <w:color w:val="000000" w:themeColor="text1"/>
              </w:rPr>
              <w:t xml:space="preserve">Change of Name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E33B69" w14:textId="5645799A" w:rsidR="00771EAC" w:rsidRPr="00C7358F" w:rsidRDefault="00771EAC" w:rsidP="00C7358F">
            <w:pPr>
              <w:pStyle w:val="TableParagraph"/>
              <w:ind w:left="107" w:right="239"/>
              <w:rPr>
                <w:color w:val="000000" w:themeColor="text1"/>
              </w:rPr>
            </w:pPr>
            <w:r>
              <w:rPr>
                <w:color w:val="000000" w:themeColor="text1"/>
              </w:rPr>
              <w:t xml:space="preserve">Information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6B1072" w14:textId="174CBAFE" w:rsidR="00771EAC" w:rsidRPr="00C7358F" w:rsidRDefault="00771EAC" w:rsidP="00C7358F">
            <w:pPr>
              <w:pStyle w:val="TableParagraph"/>
              <w:ind w:left="107" w:right="239"/>
              <w:rPr>
                <w:color w:val="000000" w:themeColor="text1"/>
              </w:rPr>
            </w:pPr>
            <w:r>
              <w:rPr>
                <w:color w:val="000000" w:themeColor="text1"/>
              </w:rPr>
              <w:t>Effective from 1</w:t>
            </w:r>
            <w:r w:rsidRPr="00771EAC">
              <w:rPr>
                <w:color w:val="000000" w:themeColor="text1"/>
                <w:vertAlign w:val="superscript"/>
              </w:rPr>
              <w:t>st</w:t>
            </w:r>
            <w:r>
              <w:rPr>
                <w:color w:val="000000" w:themeColor="text1"/>
              </w:rPr>
              <w:t xml:space="preserve"> April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262D56F" w14:textId="28525A18" w:rsidR="00771EAC" w:rsidRPr="00C7358F" w:rsidRDefault="00771EAC" w:rsidP="00C7358F">
            <w:pPr>
              <w:pStyle w:val="TableParagraph"/>
              <w:ind w:left="107" w:right="239"/>
              <w:rPr>
                <w:color w:val="000000" w:themeColor="text1"/>
              </w:rPr>
            </w:pPr>
            <w:r>
              <w:rPr>
                <w:color w:val="000000" w:themeColor="text1"/>
              </w:rPr>
              <w:t xml:space="preserve">We have now changed our name and are known as </w:t>
            </w:r>
            <w:r w:rsidRPr="00771EAC">
              <w:rPr>
                <w:b/>
                <w:bCs/>
                <w:color w:val="000000" w:themeColor="text1"/>
              </w:rPr>
              <w:t>Community Pharmacy Leicestershire and Rutland (CPL&amp;R)</w:t>
            </w:r>
            <w:r>
              <w:rPr>
                <w:color w:val="000000" w:themeColor="text1"/>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14A2CC15" w14:textId="77777777" w:rsidR="00771EAC" w:rsidRPr="00C7358F" w:rsidRDefault="00771EAC" w:rsidP="00C7358F">
            <w:pPr>
              <w:pStyle w:val="TableParagraph"/>
              <w:spacing w:line="268" w:lineRule="exact"/>
              <w:ind w:left="107" w:right="239"/>
              <w:rPr>
                <w:color w:val="000000" w:themeColor="text1"/>
              </w:rPr>
            </w:pPr>
          </w:p>
        </w:tc>
      </w:tr>
      <w:tr w:rsidR="00C7358F" w14:paraId="0CFBECB2"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4702B134" w14:textId="77777777" w:rsidR="00C7358F" w:rsidRPr="00C7358F" w:rsidRDefault="00C7358F" w:rsidP="00C7358F">
            <w:pPr>
              <w:pStyle w:val="TableParagraph"/>
              <w:ind w:left="107" w:right="239"/>
              <w:rPr>
                <w:color w:val="000000" w:themeColor="text1"/>
              </w:rPr>
            </w:pPr>
            <w:r w:rsidRPr="00C7358F">
              <w:rPr>
                <w:color w:val="000000" w:themeColor="text1"/>
              </w:rPr>
              <w:t xml:space="preserve">Bank Holidays Rota Claims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54F447" w14:textId="77777777" w:rsidR="00C7358F" w:rsidRPr="00C7358F" w:rsidRDefault="00C7358F" w:rsidP="00C7358F">
            <w:pPr>
              <w:pStyle w:val="TableParagraph"/>
              <w:ind w:left="107" w:right="239"/>
              <w:rPr>
                <w:color w:val="000000" w:themeColor="text1"/>
              </w:rPr>
            </w:pPr>
            <w:r w:rsidRPr="00C7358F">
              <w:rPr>
                <w:color w:val="000000" w:themeColor="text1"/>
              </w:rPr>
              <w:t>Contractual requirement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2C2035" w14:textId="77777777" w:rsidR="00C7358F" w:rsidRPr="00C7358F" w:rsidRDefault="00C7358F" w:rsidP="00C7358F">
            <w:pPr>
              <w:pStyle w:val="TableParagraph"/>
              <w:ind w:left="107" w:right="239"/>
              <w:rPr>
                <w:color w:val="000000" w:themeColor="text1"/>
              </w:rPr>
            </w:pPr>
            <w:r w:rsidRPr="00C7358F">
              <w:rPr>
                <w:color w:val="000000" w:themeColor="text1"/>
              </w:rPr>
              <w:t xml:space="preserve">Within 28 days of the date of the </w:t>
            </w:r>
            <w:proofErr w:type="spellStart"/>
            <w:r w:rsidRPr="00C7358F">
              <w:rPr>
                <w:color w:val="000000" w:themeColor="text1"/>
              </w:rPr>
              <w:t>rota</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ADC77FA" w14:textId="33BBBAFF" w:rsidR="00C7358F" w:rsidRPr="00C7358F" w:rsidRDefault="00C7358F" w:rsidP="00C7358F">
            <w:pPr>
              <w:pStyle w:val="TableParagraph"/>
              <w:ind w:left="107" w:right="239"/>
              <w:rPr>
                <w:color w:val="000000" w:themeColor="text1"/>
              </w:rPr>
            </w:pPr>
            <w:r w:rsidRPr="00C7358F">
              <w:rPr>
                <w:color w:val="000000" w:themeColor="text1"/>
              </w:rPr>
              <w:t xml:space="preserve">If you were/are directed to open over the May Bank Holidays, please remember to claim your payment within 28 days of the date of the </w:t>
            </w:r>
            <w:proofErr w:type="spellStart"/>
            <w:r w:rsidRPr="00C7358F">
              <w:rPr>
                <w:color w:val="000000" w:themeColor="text1"/>
              </w:rPr>
              <w:t>rota</w:t>
            </w:r>
            <w:proofErr w:type="spellEnd"/>
            <w:r w:rsidRPr="00C7358F">
              <w:rPr>
                <w:color w:val="000000" w:themeColor="text1"/>
              </w:rPr>
              <w:t>. Please note:</w:t>
            </w:r>
          </w:p>
          <w:p w14:paraId="6E2C800F" w14:textId="44019883" w:rsidR="00C7358F" w:rsidRPr="00C7358F" w:rsidRDefault="00C7358F" w:rsidP="007C27F6">
            <w:pPr>
              <w:pStyle w:val="TableParagraph"/>
              <w:ind w:left="107" w:right="239"/>
              <w:rPr>
                <w:color w:val="000000" w:themeColor="text1"/>
              </w:rPr>
            </w:pPr>
            <w:r w:rsidRPr="00C7358F">
              <w:rPr>
                <w:color w:val="000000" w:themeColor="text1"/>
              </w:rPr>
              <w:t>Rota claims should now be made by completing the new ‘Directed Rota Claim Form’ on PharmOutcomes.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3C39B5B0" w14:textId="77777777" w:rsidR="00C7358F" w:rsidRPr="00C7358F" w:rsidRDefault="00C7358F" w:rsidP="00C7358F">
            <w:pPr>
              <w:pStyle w:val="TableParagraph"/>
              <w:spacing w:line="268" w:lineRule="exact"/>
              <w:ind w:left="107" w:right="239"/>
              <w:rPr>
                <w:color w:val="000000" w:themeColor="text1"/>
              </w:rPr>
            </w:pPr>
          </w:p>
        </w:tc>
      </w:tr>
      <w:tr w:rsidR="00C7358F" w14:paraId="01F4D57C" w14:textId="77777777" w:rsidTr="00771EAC">
        <w:trPr>
          <w:trHeight w:val="317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37B40E47" w14:textId="77777777" w:rsidR="00C7358F" w:rsidRPr="00C7358F" w:rsidRDefault="00C7358F" w:rsidP="00C7358F">
            <w:pPr>
              <w:pStyle w:val="TableParagraph"/>
              <w:ind w:left="107" w:right="239"/>
              <w:rPr>
                <w:color w:val="000000" w:themeColor="text1"/>
              </w:rPr>
            </w:pPr>
            <w:r w:rsidRPr="00C7358F">
              <w:rPr>
                <w:color w:val="000000" w:themeColor="text1"/>
              </w:rPr>
              <w:t>DoS PHARMACY HOURS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949AAE" w14:textId="77777777" w:rsidR="00C7358F" w:rsidRPr="00C7358F" w:rsidRDefault="00C7358F" w:rsidP="00C7358F">
            <w:pPr>
              <w:pStyle w:val="TableParagraph"/>
              <w:ind w:left="107" w:right="239"/>
              <w:rPr>
                <w:color w:val="000000" w:themeColor="text1"/>
              </w:rPr>
            </w:pPr>
            <w:r w:rsidRPr="00C7358F">
              <w:rPr>
                <w:color w:val="000000" w:themeColor="text1"/>
              </w:rPr>
              <w:t>Contractual requirement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FEB35F" w14:textId="77777777" w:rsidR="00C7358F" w:rsidRPr="00C7358F" w:rsidRDefault="00C7358F" w:rsidP="00C7358F">
            <w:pPr>
              <w:pStyle w:val="TableParagraph"/>
              <w:ind w:left="107" w:right="239"/>
              <w:rPr>
                <w:color w:val="000000" w:themeColor="text1"/>
              </w:rPr>
            </w:pPr>
            <w:r w:rsidRPr="00C7358F">
              <w:rPr>
                <w:color w:val="000000" w:themeColor="text1"/>
              </w:rPr>
              <w:t>30th June 2023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233F2CB" w14:textId="77777777" w:rsidR="00C7358F" w:rsidRPr="00C7358F" w:rsidRDefault="00C7358F" w:rsidP="00C7358F">
            <w:pPr>
              <w:pStyle w:val="TableParagraph"/>
              <w:ind w:left="107" w:right="239"/>
              <w:rPr>
                <w:color w:val="000000" w:themeColor="text1"/>
              </w:rPr>
            </w:pPr>
            <w:r w:rsidRPr="00C7358F">
              <w:rPr>
                <w:color w:val="000000" w:themeColor="text1"/>
              </w:rPr>
              <w:t>Pharmacies must ensure there is a comprehensive and accurate profile for their pharmacy in</w:t>
            </w:r>
          </w:p>
          <w:p w14:paraId="3DF620D3" w14:textId="77777777" w:rsidR="00C7358F" w:rsidRPr="00C7358F" w:rsidRDefault="00C7358F" w:rsidP="00C7358F">
            <w:pPr>
              <w:pStyle w:val="TableParagraph"/>
              <w:ind w:left="107" w:right="239"/>
              <w:rPr>
                <w:color w:val="000000" w:themeColor="text1"/>
              </w:rPr>
            </w:pPr>
            <w:r w:rsidRPr="00C7358F">
              <w:rPr>
                <w:color w:val="000000" w:themeColor="text1"/>
              </w:rPr>
              <w:t xml:space="preserve">the </w:t>
            </w:r>
            <w:hyperlink r:id="rId6" w:history="1">
              <w:r w:rsidRPr="00C7358F">
                <w:t>Directory of Services (DoS). Information</w:t>
              </w:r>
            </w:hyperlink>
            <w:hyperlink r:id="rId7" w:history="1">
              <w:r w:rsidRPr="00C7358F">
                <w:t xml:space="preserve"> </w:t>
              </w:r>
            </w:hyperlink>
            <w:hyperlink r:id="rId8" w:history="1">
              <w:r w:rsidRPr="00C7358F">
                <w:t>contained</w:t>
              </w:r>
            </w:hyperlink>
            <w:hyperlink r:id="rId9" w:history="1">
              <w:r w:rsidRPr="00C7358F">
                <w:t xml:space="preserve"> </w:t>
              </w:r>
            </w:hyperlink>
            <w:hyperlink r:id="rId10" w:history="1">
              <w:r w:rsidRPr="00C7358F">
                <w:t>in</w:t>
              </w:r>
            </w:hyperlink>
            <w:hyperlink r:id="rId11" w:history="1">
              <w:r w:rsidRPr="00C7358F">
                <w:t xml:space="preserve"> </w:t>
              </w:r>
            </w:hyperlink>
            <w:hyperlink r:id="rId12" w:history="1">
              <w:r w:rsidRPr="00C7358F">
                <w:t>DoS</w:t>
              </w:r>
            </w:hyperlink>
            <w:hyperlink r:id="rId13" w:history="1">
              <w:r w:rsidRPr="00C7358F">
                <w:t xml:space="preserve"> </w:t>
              </w:r>
            </w:hyperlink>
            <w:r w:rsidRPr="00C7358F">
              <w:rPr>
                <w:color w:val="000000" w:themeColor="text1"/>
              </w:rPr>
              <w:t>at least once each quarter of</w:t>
            </w:r>
          </w:p>
          <w:p w14:paraId="265618A5" w14:textId="77777777" w:rsidR="00C7358F" w:rsidRPr="00C7358F" w:rsidRDefault="00C7358F" w:rsidP="00C7358F">
            <w:pPr>
              <w:pStyle w:val="TableParagraph"/>
              <w:ind w:left="107" w:right="239"/>
              <w:rPr>
                <w:color w:val="000000" w:themeColor="text1"/>
              </w:rPr>
            </w:pPr>
            <w:r w:rsidRPr="00C7358F">
              <w:rPr>
                <w:color w:val="000000" w:themeColor="text1"/>
              </w:rPr>
              <w:t>the financial year. The financial quarters are:</w:t>
            </w:r>
          </w:p>
          <w:p w14:paraId="4FFC2B30" w14:textId="77777777" w:rsidR="00C7358F" w:rsidRPr="00C7358F" w:rsidRDefault="00C7358F" w:rsidP="00C7358F">
            <w:pPr>
              <w:pStyle w:val="TableParagraph"/>
              <w:widowControl/>
              <w:numPr>
                <w:ilvl w:val="0"/>
                <w:numId w:val="4"/>
              </w:numPr>
              <w:tabs>
                <w:tab w:val="left" w:pos="270"/>
              </w:tabs>
              <w:suppressAutoHyphens/>
              <w:autoSpaceDE/>
              <w:spacing w:line="264" w:lineRule="exact"/>
              <w:ind w:left="107" w:right="239"/>
              <w:textAlignment w:val="baseline"/>
              <w:rPr>
                <w:color w:val="000000" w:themeColor="text1"/>
              </w:rPr>
            </w:pPr>
            <w:r w:rsidRPr="00C7358F">
              <w:rPr>
                <w:color w:val="000000" w:themeColor="text1"/>
              </w:rPr>
              <w:t>1st April to 30th June</w:t>
            </w:r>
          </w:p>
          <w:p w14:paraId="1811A196" w14:textId="77777777" w:rsidR="00C7358F" w:rsidRPr="00C7358F" w:rsidRDefault="00C7358F" w:rsidP="00C7358F">
            <w:pPr>
              <w:pStyle w:val="TableParagraph"/>
              <w:widowControl/>
              <w:numPr>
                <w:ilvl w:val="0"/>
                <w:numId w:val="3"/>
              </w:numPr>
              <w:tabs>
                <w:tab w:val="left" w:pos="270"/>
              </w:tabs>
              <w:suppressAutoHyphens/>
              <w:autoSpaceDE/>
              <w:spacing w:line="265" w:lineRule="exact"/>
              <w:ind w:left="107" w:right="239"/>
              <w:textAlignment w:val="baseline"/>
              <w:rPr>
                <w:color w:val="000000" w:themeColor="text1"/>
              </w:rPr>
            </w:pPr>
            <w:r w:rsidRPr="00C7358F">
              <w:rPr>
                <w:color w:val="000000" w:themeColor="text1"/>
              </w:rPr>
              <w:t>1st July to 30th September</w:t>
            </w:r>
          </w:p>
          <w:p w14:paraId="7770C677" w14:textId="77777777" w:rsidR="00C7358F" w:rsidRPr="00C7358F" w:rsidRDefault="00C7358F" w:rsidP="00C7358F">
            <w:pPr>
              <w:pStyle w:val="TableParagraph"/>
              <w:widowControl/>
              <w:numPr>
                <w:ilvl w:val="0"/>
                <w:numId w:val="3"/>
              </w:numPr>
              <w:tabs>
                <w:tab w:val="left" w:pos="270"/>
              </w:tabs>
              <w:suppressAutoHyphens/>
              <w:autoSpaceDE/>
              <w:ind w:left="107" w:right="239"/>
              <w:textAlignment w:val="baseline"/>
              <w:rPr>
                <w:color w:val="000000" w:themeColor="text1"/>
              </w:rPr>
            </w:pPr>
            <w:r w:rsidRPr="00C7358F">
              <w:rPr>
                <w:color w:val="000000" w:themeColor="text1"/>
              </w:rPr>
              <w:t>1st October to 31st December</w:t>
            </w:r>
          </w:p>
          <w:p w14:paraId="497DAF8A" w14:textId="3BC37C4C" w:rsidR="00C7358F" w:rsidRPr="00771EAC" w:rsidRDefault="00C7358F" w:rsidP="00771EAC">
            <w:pPr>
              <w:pStyle w:val="TableParagraph"/>
              <w:widowControl/>
              <w:numPr>
                <w:ilvl w:val="0"/>
                <w:numId w:val="3"/>
              </w:numPr>
              <w:tabs>
                <w:tab w:val="left" w:pos="270"/>
              </w:tabs>
              <w:suppressAutoHyphens/>
              <w:autoSpaceDE/>
              <w:ind w:left="107" w:right="239"/>
              <w:textAlignment w:val="baseline"/>
              <w:rPr>
                <w:color w:val="000000" w:themeColor="text1"/>
              </w:rPr>
            </w:pPr>
            <w:r w:rsidRPr="00C7358F">
              <w:rPr>
                <w:color w:val="000000" w:themeColor="text1"/>
              </w:rPr>
              <w:t>1st January to 31st March.</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75C42CBA" w14:textId="77777777" w:rsidR="00C7358F" w:rsidRPr="00C7358F" w:rsidRDefault="00C7358F" w:rsidP="00C7358F">
            <w:pPr>
              <w:pStyle w:val="TableParagraph"/>
              <w:spacing w:line="268" w:lineRule="exact"/>
              <w:ind w:left="107" w:right="239"/>
              <w:rPr>
                <w:color w:val="000000" w:themeColor="text1"/>
              </w:rPr>
            </w:pPr>
          </w:p>
        </w:tc>
      </w:tr>
      <w:tr w:rsidR="00C7358F" w14:paraId="46D0DE55"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8AE978B" w14:textId="77777777" w:rsidR="00C7358F" w:rsidRPr="00C7358F" w:rsidRDefault="00C7358F" w:rsidP="00C7358F">
            <w:pPr>
              <w:pStyle w:val="TableParagraph"/>
              <w:ind w:left="107" w:right="239"/>
              <w:rPr>
                <w:color w:val="000000" w:themeColor="text1"/>
              </w:rPr>
            </w:pPr>
            <w:r w:rsidRPr="00C7358F">
              <w:rPr>
                <w:color w:val="000000" w:themeColor="text1"/>
              </w:rPr>
              <w:t>DSP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F86A64" w14:textId="77777777" w:rsidR="00C7358F" w:rsidRPr="00C7358F" w:rsidRDefault="00C7358F" w:rsidP="00C7358F">
            <w:pPr>
              <w:pStyle w:val="TableParagraph"/>
              <w:ind w:left="107" w:right="239"/>
              <w:rPr>
                <w:color w:val="000000" w:themeColor="text1"/>
              </w:rPr>
            </w:pPr>
            <w:r w:rsidRPr="00C7358F">
              <w:rPr>
                <w:color w:val="000000" w:themeColor="text1"/>
              </w:rPr>
              <w:t>Contractual requirement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166653" w14:textId="54D0E59E" w:rsidR="00C7358F" w:rsidRPr="00C7358F" w:rsidRDefault="00C7358F" w:rsidP="00C7358F">
            <w:pPr>
              <w:pStyle w:val="TableParagraph"/>
              <w:ind w:left="107" w:right="239"/>
              <w:rPr>
                <w:color w:val="000000" w:themeColor="text1"/>
              </w:rPr>
            </w:pPr>
            <w:r w:rsidRPr="00C7358F">
              <w:rPr>
                <w:color w:val="000000" w:themeColor="text1"/>
              </w:rPr>
              <w:t>30th June 2023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6082DB" w14:textId="77777777" w:rsidR="00C7358F" w:rsidRPr="00C7358F" w:rsidRDefault="00C7358F" w:rsidP="00C7358F">
            <w:pPr>
              <w:pStyle w:val="TableParagraph"/>
              <w:ind w:left="107" w:right="239"/>
              <w:rPr>
                <w:color w:val="000000" w:themeColor="text1"/>
              </w:rPr>
            </w:pPr>
            <w:r w:rsidRPr="00C7358F">
              <w:rPr>
                <w:color w:val="000000" w:themeColor="text1"/>
              </w:rPr>
              <w:t xml:space="preserve">The </w:t>
            </w:r>
            <w:hyperlink r:id="rId14" w:history="1">
              <w:r w:rsidRPr="00C7358F">
                <w:t xml:space="preserve">DSP Toolkit 2022-23 </w:t>
              </w:r>
            </w:hyperlink>
            <w:r w:rsidRPr="00C7358F">
              <w:rPr>
                <w:color w:val="000000" w:themeColor="text1"/>
              </w:rPr>
              <w:t xml:space="preserve">is now open and must be completed by 30 June 2023.  </w:t>
            </w:r>
          </w:p>
          <w:p w14:paraId="1F49A2A3" w14:textId="0C44A532" w:rsidR="00C7358F" w:rsidRPr="00C7358F" w:rsidRDefault="00C7358F" w:rsidP="007C27F6">
            <w:pPr>
              <w:pStyle w:val="TableParagraph"/>
              <w:ind w:left="107" w:right="239"/>
              <w:rPr>
                <w:color w:val="000000" w:themeColor="text1"/>
              </w:rPr>
            </w:pPr>
            <w:r w:rsidRPr="00C7358F">
              <w:rPr>
                <w:color w:val="000000" w:themeColor="text1"/>
              </w:rPr>
              <w:t xml:space="preserve">A copy of the PSNC DSP toolkit workshop can be downloaded </w:t>
            </w:r>
            <w:hyperlink r:id="rId15" w:history="1">
              <w:r w:rsidRPr="00C7358F">
                <w:t xml:space="preserve">here. </w:t>
              </w:r>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66F1016F" w14:textId="77777777" w:rsidR="00C7358F" w:rsidRPr="00C7358F" w:rsidRDefault="00C7358F" w:rsidP="00C7358F">
            <w:pPr>
              <w:pStyle w:val="TableParagraph"/>
              <w:spacing w:line="268" w:lineRule="exact"/>
              <w:ind w:left="107" w:right="239"/>
              <w:rPr>
                <w:color w:val="000000" w:themeColor="text1"/>
              </w:rPr>
            </w:pPr>
          </w:p>
        </w:tc>
      </w:tr>
      <w:tr w:rsidR="00940A42" w14:paraId="2C4922AE"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543EEAA4" w14:textId="727F68DF" w:rsidR="00940A42" w:rsidRPr="00C7358F" w:rsidRDefault="00940A42" w:rsidP="00940A42">
            <w:pPr>
              <w:pStyle w:val="TableParagraph"/>
              <w:ind w:right="239"/>
              <w:rPr>
                <w:color w:val="000000" w:themeColor="text1"/>
              </w:rPr>
            </w:pPr>
            <w:r>
              <w:t>Changes to the Pharmaceutical Regulations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BC89F2" w14:textId="29D4B568" w:rsidR="00940A42" w:rsidRPr="00C7358F" w:rsidRDefault="00940A42" w:rsidP="00C7358F">
            <w:pPr>
              <w:pStyle w:val="TableParagraph"/>
              <w:ind w:left="107" w:right="239"/>
              <w:rPr>
                <w:color w:val="000000" w:themeColor="text1"/>
              </w:rPr>
            </w:pPr>
            <w:r>
              <w:rPr>
                <w:color w:val="000000" w:themeColor="text1"/>
              </w:rPr>
              <w:t xml:space="preserve">Regulatory Changes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04BFC3" w14:textId="54E4201B" w:rsidR="00940A42" w:rsidRPr="00C7358F" w:rsidRDefault="00940A42" w:rsidP="00C7358F">
            <w:pPr>
              <w:pStyle w:val="TableParagraph"/>
              <w:ind w:left="107" w:right="239"/>
              <w:rPr>
                <w:color w:val="000000" w:themeColor="text1"/>
              </w:rPr>
            </w:pPr>
            <w:r>
              <w:rPr>
                <w:color w:val="000000" w:themeColor="text1"/>
              </w:rPr>
              <w:t xml:space="preserve">ACT NOW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93D742F" w14:textId="57F9B5CA" w:rsidR="00940A42" w:rsidRPr="00C7358F" w:rsidRDefault="00940A42" w:rsidP="00C7358F">
            <w:pPr>
              <w:pStyle w:val="TableParagraph"/>
              <w:ind w:left="107" w:right="239"/>
              <w:rPr>
                <w:color w:val="000000" w:themeColor="text1"/>
              </w:rPr>
            </w:pPr>
            <w:r>
              <w:t xml:space="preserve">We recommend that all contractors read the PSNC briefing regarding the </w:t>
            </w:r>
            <w:hyperlink r:id="rId16" w:history="1">
              <w:r w:rsidRPr="00940A42">
                <w:rPr>
                  <w:rStyle w:val="Hyperlink"/>
                </w:rPr>
                <w:t>DHSC regulatory changes affecting community pharmacy</w:t>
              </w:r>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359EE878" w14:textId="77777777" w:rsidR="00940A42" w:rsidRPr="00C7358F" w:rsidRDefault="00940A42" w:rsidP="00C7358F">
            <w:pPr>
              <w:pStyle w:val="TableParagraph"/>
              <w:spacing w:line="268" w:lineRule="exact"/>
              <w:ind w:left="107" w:right="239"/>
              <w:rPr>
                <w:color w:val="000000" w:themeColor="text1"/>
              </w:rPr>
            </w:pPr>
          </w:p>
        </w:tc>
      </w:tr>
      <w:tr w:rsidR="00940A42" w14:paraId="559739B2"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89D156A" w14:textId="47DBA74E" w:rsidR="00940A42" w:rsidRDefault="00940A42" w:rsidP="00940A42">
            <w:pPr>
              <w:pStyle w:val="TableParagraph"/>
              <w:ind w:right="239"/>
            </w:pPr>
            <w:r>
              <w:t xml:space="preserve">Pharmacy Quality Scheme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4B44D8" w14:textId="062153F1" w:rsidR="00940A42" w:rsidRDefault="00940A42" w:rsidP="00C7358F">
            <w:pPr>
              <w:pStyle w:val="TableParagraph"/>
              <w:ind w:left="107" w:right="239"/>
              <w:rPr>
                <w:color w:val="000000" w:themeColor="text1"/>
              </w:rPr>
            </w:pPr>
            <w:r>
              <w:rPr>
                <w:color w:val="000000" w:themeColor="text1"/>
              </w:rPr>
              <w:t xml:space="preserve">Pharmacy Income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9CFB4C" w14:textId="55B0AF97" w:rsidR="00940A42" w:rsidRDefault="00940A42" w:rsidP="00C7358F">
            <w:pPr>
              <w:pStyle w:val="TableParagraph"/>
              <w:ind w:left="107" w:right="239"/>
              <w:rPr>
                <w:color w:val="000000" w:themeColor="text1"/>
              </w:rPr>
            </w:pPr>
            <w:r>
              <w:rPr>
                <w:color w:val="000000" w:themeColor="text1"/>
              </w:rPr>
              <w:t xml:space="preserve">ACT NOW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0614A82" w14:textId="1382FAC1" w:rsidR="00940A42" w:rsidRPr="00940A42" w:rsidRDefault="00940A42" w:rsidP="00C7358F">
            <w:pPr>
              <w:pStyle w:val="TableParagraph"/>
              <w:ind w:left="107" w:right="239"/>
              <w:rPr>
                <w:rFonts w:asciiTheme="minorHAnsi" w:hAnsiTheme="minorHAnsi" w:cstheme="minorHAnsi"/>
              </w:rPr>
            </w:pPr>
            <w:r w:rsidRPr="00940A42">
              <w:rPr>
                <w:rFonts w:asciiTheme="minorHAnsi" w:hAnsiTheme="minorHAnsi" w:cstheme="minorHAnsi"/>
                <w:shd w:val="clear" w:color="auto" w:fill="FBFBFB"/>
              </w:rPr>
              <w:t>The reduced Year 5 Community Pharmacy Contractual Framework (CPCF) PQS scheme will launch on 1 June 2023.</w:t>
            </w:r>
            <w:r w:rsidRPr="00940A42">
              <w:rPr>
                <w:rFonts w:asciiTheme="minorHAnsi" w:hAnsiTheme="minorHAnsi" w:cstheme="minorHAnsi"/>
              </w:rPr>
              <w:t xml:space="preserve">Details are available on the </w:t>
            </w:r>
            <w:hyperlink r:id="rId17" w:history="1">
              <w:hyperlink r:id="rId18" w:history="1">
                <w:r w:rsidRPr="00940A42">
                  <w:rPr>
                    <w:rStyle w:val="Hyperlink"/>
                    <w:rFonts w:asciiTheme="minorHAnsi" w:hAnsiTheme="minorHAnsi" w:cstheme="minorHAnsi"/>
                  </w:rPr>
                  <w:t>NHSBSA website</w:t>
                </w:r>
              </w:hyperlink>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6F742408" w14:textId="77777777" w:rsidR="00940A42" w:rsidRPr="00C7358F" w:rsidRDefault="00940A42" w:rsidP="00C7358F">
            <w:pPr>
              <w:pStyle w:val="TableParagraph"/>
              <w:spacing w:line="268" w:lineRule="exact"/>
              <w:ind w:left="107" w:right="239"/>
              <w:rPr>
                <w:color w:val="000000" w:themeColor="text1"/>
              </w:rPr>
            </w:pPr>
          </w:p>
        </w:tc>
      </w:tr>
      <w:tr w:rsidR="00940A42" w14:paraId="043B1D61" w14:textId="77777777" w:rsidTr="00C7358F">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3B1ADBB8" w14:textId="044DEED8" w:rsidR="00940A42" w:rsidRDefault="00940A42" w:rsidP="00940A42">
            <w:pPr>
              <w:pStyle w:val="Heading1"/>
              <w:spacing w:before="0" w:after="161"/>
            </w:pPr>
            <w:r w:rsidRPr="00940A42">
              <w:rPr>
                <w:rFonts w:asciiTheme="minorHAnsi" w:hAnsiTheme="minorHAnsi" w:cstheme="minorHAnsi"/>
                <w:color w:val="auto"/>
                <w:sz w:val="22"/>
                <w:szCs w:val="22"/>
              </w:rPr>
              <w:lastRenderedPageBreak/>
              <w:t xml:space="preserve">CPCS claim period change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6BFE15" w14:textId="4EAC50C5" w:rsidR="00940A42" w:rsidRDefault="00940A42" w:rsidP="00C7358F">
            <w:pPr>
              <w:pStyle w:val="TableParagraph"/>
              <w:ind w:left="107" w:right="239"/>
              <w:rPr>
                <w:color w:val="000000" w:themeColor="text1"/>
              </w:rPr>
            </w:pPr>
            <w:r>
              <w:rPr>
                <w:color w:val="000000" w:themeColor="text1"/>
              </w:rPr>
              <w:t xml:space="preserve">Pharmacy Income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1FCC59" w14:textId="60E5C133" w:rsidR="00940A42" w:rsidRPr="00940A42" w:rsidRDefault="00940A42" w:rsidP="00940A42">
            <w:pPr>
              <w:pStyle w:val="Heading1"/>
              <w:spacing w:before="0" w:after="161"/>
              <w:rPr>
                <w:rFonts w:asciiTheme="minorHAnsi" w:eastAsia="Times New Roman" w:hAnsiTheme="minorHAnsi" w:cstheme="minorHAnsi"/>
                <w:color w:val="auto"/>
                <w:sz w:val="22"/>
                <w:szCs w:val="22"/>
              </w:rPr>
            </w:pPr>
            <w:r>
              <w:rPr>
                <w:rFonts w:asciiTheme="minorHAnsi" w:hAnsiTheme="minorHAnsi" w:cstheme="minorHAnsi"/>
                <w:color w:val="auto"/>
                <w:sz w:val="22"/>
                <w:szCs w:val="22"/>
              </w:rPr>
              <w:t>F</w:t>
            </w:r>
            <w:r w:rsidRPr="00940A42">
              <w:rPr>
                <w:rFonts w:asciiTheme="minorHAnsi" w:hAnsiTheme="minorHAnsi" w:cstheme="minorHAnsi"/>
                <w:color w:val="auto"/>
                <w:sz w:val="22"/>
                <w:szCs w:val="22"/>
              </w:rPr>
              <w:t>rom 1st June</w:t>
            </w:r>
          </w:p>
          <w:p w14:paraId="19FF361C" w14:textId="25B46F55" w:rsidR="00940A42" w:rsidRDefault="00940A42" w:rsidP="00C7358F">
            <w:pPr>
              <w:pStyle w:val="TableParagraph"/>
              <w:ind w:left="107" w:right="239"/>
              <w:rPr>
                <w:color w:val="000000" w:themeColor="text1"/>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ECB98C6" w14:textId="047FD51B" w:rsidR="00940A42" w:rsidRPr="00940A42" w:rsidRDefault="00940A42" w:rsidP="00C7358F">
            <w:pPr>
              <w:pStyle w:val="TableParagraph"/>
              <w:ind w:left="107" w:right="239"/>
              <w:rPr>
                <w:rFonts w:asciiTheme="minorHAnsi" w:hAnsiTheme="minorHAnsi" w:cstheme="minorHAnsi"/>
                <w:shd w:val="clear" w:color="auto" w:fill="FBFBFB"/>
              </w:rPr>
            </w:pPr>
            <w:r>
              <w:t xml:space="preserve">NHSE has announced that from 1 June 2023, claims for CPCS should be submitted within one month of, and no later than three months from, the claim period for the chargeable activity provided. Find out more on the </w:t>
            </w:r>
            <w:hyperlink r:id="rId19" w:history="1">
              <w:r w:rsidRPr="00940A42">
                <w:rPr>
                  <w:rStyle w:val="Hyperlink"/>
                </w:rPr>
                <w:t>PSNC website</w:t>
              </w:r>
            </w:hyperlink>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13B0E482" w14:textId="77777777" w:rsidR="00940A42" w:rsidRPr="00C7358F" w:rsidRDefault="00940A42" w:rsidP="00C7358F">
            <w:pPr>
              <w:pStyle w:val="TableParagraph"/>
              <w:spacing w:line="268" w:lineRule="exact"/>
              <w:ind w:left="107" w:right="239"/>
              <w:rPr>
                <w:color w:val="000000" w:themeColor="text1"/>
              </w:rPr>
            </w:pPr>
          </w:p>
        </w:tc>
      </w:tr>
      <w:tr w:rsidR="00771EAC" w14:paraId="128D3B47" w14:textId="77777777" w:rsidTr="00771EAC">
        <w:trPr>
          <w:trHeight w:val="1157"/>
        </w:trPr>
        <w:tc>
          <w:tcPr>
            <w:tcW w:w="1780" w:type="dxa"/>
          </w:tcPr>
          <w:p w14:paraId="438921C8" w14:textId="68A38FD2" w:rsidR="00771EAC" w:rsidRPr="00C7358F" w:rsidRDefault="00771EAC" w:rsidP="00771EAC">
            <w:pPr>
              <w:pStyle w:val="TableParagraph"/>
              <w:ind w:left="107" w:right="239"/>
              <w:rPr>
                <w:color w:val="000000" w:themeColor="text1"/>
              </w:rPr>
            </w:pPr>
            <w:r>
              <w:t>Other</w:t>
            </w:r>
            <w:r>
              <w:rPr>
                <w:spacing w:val="-13"/>
              </w:rPr>
              <w:t xml:space="preserve"> </w:t>
            </w:r>
            <w:r>
              <w:t xml:space="preserve">Payment </w:t>
            </w:r>
            <w:r>
              <w:rPr>
                <w:spacing w:val="-2"/>
              </w:rPr>
              <w:t>Deadlines</w:t>
            </w:r>
          </w:p>
        </w:tc>
        <w:tc>
          <w:tcPr>
            <w:tcW w:w="1843" w:type="dxa"/>
          </w:tcPr>
          <w:p w14:paraId="7EE1BB30" w14:textId="2CA882DF" w:rsidR="00771EAC" w:rsidRPr="00C7358F" w:rsidRDefault="00771EAC" w:rsidP="00771EAC">
            <w:pPr>
              <w:pStyle w:val="TableParagraph"/>
              <w:ind w:left="107" w:right="239"/>
              <w:rPr>
                <w:color w:val="000000" w:themeColor="text1"/>
              </w:rPr>
            </w:pPr>
            <w:r>
              <w:rPr>
                <w:spacing w:val="-2"/>
              </w:rPr>
              <w:t>Pharmacy income</w:t>
            </w:r>
          </w:p>
        </w:tc>
        <w:tc>
          <w:tcPr>
            <w:tcW w:w="1559" w:type="dxa"/>
          </w:tcPr>
          <w:p w14:paraId="34D70FDB" w14:textId="4D3CFB4F" w:rsidR="00771EAC" w:rsidRPr="00C7358F" w:rsidRDefault="00771EAC" w:rsidP="00771EAC">
            <w:pPr>
              <w:pStyle w:val="TableParagraph"/>
              <w:ind w:left="107" w:right="239"/>
              <w:rPr>
                <w:color w:val="000000" w:themeColor="text1"/>
              </w:rPr>
            </w:pPr>
            <w:r>
              <w:t>5</w:t>
            </w:r>
            <w:r>
              <w:rPr>
                <w:vertAlign w:val="superscript"/>
              </w:rPr>
              <w:t>th</w:t>
            </w:r>
            <w:r>
              <w:rPr>
                <w:spacing w:val="-13"/>
              </w:rPr>
              <w:t xml:space="preserve"> </w:t>
            </w:r>
            <w:r>
              <w:t>of</w:t>
            </w:r>
            <w:r>
              <w:rPr>
                <w:spacing w:val="-12"/>
              </w:rPr>
              <w:t xml:space="preserve"> </w:t>
            </w:r>
            <w:r>
              <w:t xml:space="preserve">the </w:t>
            </w:r>
            <w:r>
              <w:rPr>
                <w:spacing w:val="-4"/>
              </w:rPr>
              <w:t>month</w:t>
            </w:r>
          </w:p>
        </w:tc>
        <w:tc>
          <w:tcPr>
            <w:tcW w:w="3544" w:type="dxa"/>
          </w:tcPr>
          <w:p w14:paraId="3988224B" w14:textId="0E15CF8A" w:rsidR="00771EAC" w:rsidRPr="00C7358F" w:rsidRDefault="00771EAC" w:rsidP="00771EAC">
            <w:pPr>
              <w:pStyle w:val="TableParagraph"/>
              <w:ind w:left="107" w:right="239"/>
              <w:rPr>
                <w:color w:val="000000" w:themeColor="text1"/>
              </w:rPr>
            </w:pPr>
            <w:r>
              <w:t>For up-to-date information regarding deadlines for national service</w:t>
            </w:r>
            <w:r>
              <w:rPr>
                <w:spacing w:val="-8"/>
              </w:rPr>
              <w:t xml:space="preserve"> </w:t>
            </w:r>
            <w:r>
              <w:t>claims</w:t>
            </w:r>
            <w:r>
              <w:rPr>
                <w:spacing w:val="-11"/>
              </w:rPr>
              <w:t xml:space="preserve"> </w:t>
            </w:r>
            <w:r>
              <w:t>and</w:t>
            </w:r>
            <w:r>
              <w:rPr>
                <w:spacing w:val="-10"/>
              </w:rPr>
              <w:t xml:space="preserve"> </w:t>
            </w:r>
            <w:r>
              <w:t>other</w:t>
            </w:r>
            <w:r>
              <w:rPr>
                <w:spacing w:val="-9"/>
              </w:rPr>
              <w:t xml:space="preserve"> </w:t>
            </w:r>
            <w:r>
              <w:t xml:space="preserve">deadlines please access </w:t>
            </w:r>
            <w:hyperlink r:id="rId20">
              <w:r>
                <w:rPr>
                  <w:color w:val="0461C1"/>
                  <w:u w:val="single" w:color="0461C1"/>
                </w:rPr>
                <w:t>information here</w:t>
              </w:r>
            </w:hyperlink>
          </w:p>
        </w:tc>
        <w:tc>
          <w:tcPr>
            <w:tcW w:w="1764" w:type="dxa"/>
          </w:tcPr>
          <w:p w14:paraId="36987A01" w14:textId="77777777" w:rsidR="00771EAC" w:rsidRPr="00C7358F" w:rsidRDefault="00771EAC" w:rsidP="00771EAC">
            <w:pPr>
              <w:pStyle w:val="TableParagraph"/>
              <w:spacing w:line="268" w:lineRule="exact"/>
              <w:ind w:left="107" w:right="239"/>
              <w:rPr>
                <w:color w:val="000000" w:themeColor="text1"/>
              </w:rPr>
            </w:pPr>
          </w:p>
        </w:tc>
      </w:tr>
      <w:tr w:rsidR="00771EAC" w14:paraId="5A1451EF" w14:textId="77777777" w:rsidTr="00116BD5">
        <w:trPr>
          <w:trHeight w:val="980"/>
        </w:trPr>
        <w:tc>
          <w:tcPr>
            <w:tcW w:w="1780" w:type="dxa"/>
          </w:tcPr>
          <w:p w14:paraId="556E5C38" w14:textId="04831783" w:rsidR="00771EAC" w:rsidRPr="00C7358F" w:rsidRDefault="00771EAC" w:rsidP="00771EAC">
            <w:pPr>
              <w:pStyle w:val="TableParagraph"/>
              <w:ind w:left="107" w:right="239"/>
              <w:rPr>
                <w:color w:val="000000" w:themeColor="text1"/>
              </w:rPr>
            </w:pPr>
            <w:r>
              <w:t>Local</w:t>
            </w:r>
            <w:r>
              <w:rPr>
                <w:spacing w:val="-4"/>
              </w:rPr>
              <w:t xml:space="preserve"> </w:t>
            </w:r>
            <w:r>
              <w:rPr>
                <w:spacing w:val="-2"/>
              </w:rPr>
              <w:t>Services</w:t>
            </w:r>
          </w:p>
        </w:tc>
        <w:tc>
          <w:tcPr>
            <w:tcW w:w="1843" w:type="dxa"/>
          </w:tcPr>
          <w:p w14:paraId="05D4C1B7" w14:textId="3E1510B1" w:rsidR="00771EAC" w:rsidRPr="00C7358F" w:rsidRDefault="00771EAC" w:rsidP="00771EAC">
            <w:pPr>
              <w:pStyle w:val="TableParagraph"/>
              <w:ind w:left="107" w:right="239"/>
              <w:rPr>
                <w:color w:val="000000" w:themeColor="text1"/>
              </w:rPr>
            </w:pPr>
            <w:r>
              <w:rPr>
                <w:spacing w:val="-2"/>
              </w:rPr>
              <w:t>Contractual requirement</w:t>
            </w:r>
          </w:p>
        </w:tc>
        <w:tc>
          <w:tcPr>
            <w:tcW w:w="1559" w:type="dxa"/>
          </w:tcPr>
          <w:p w14:paraId="4E183623" w14:textId="0DFF0F7A" w:rsidR="00771EAC" w:rsidRPr="00C7358F" w:rsidRDefault="00771EAC" w:rsidP="00771EAC">
            <w:pPr>
              <w:pStyle w:val="TableParagraph"/>
              <w:ind w:left="107" w:right="239"/>
              <w:rPr>
                <w:color w:val="000000" w:themeColor="text1"/>
              </w:rPr>
            </w:pPr>
            <w:r>
              <w:t>5</w:t>
            </w:r>
            <w:r>
              <w:rPr>
                <w:vertAlign w:val="superscript"/>
              </w:rPr>
              <w:t>th</w:t>
            </w:r>
            <w:r>
              <w:rPr>
                <w:spacing w:val="-1"/>
              </w:rPr>
              <w:t xml:space="preserve"> </w:t>
            </w:r>
            <w:r>
              <w:t>of</w:t>
            </w:r>
            <w:r>
              <w:rPr>
                <w:spacing w:val="-4"/>
              </w:rPr>
              <w:t xml:space="preserve"> </w:t>
            </w:r>
            <w:r>
              <w:t>the</w:t>
            </w:r>
            <w:r>
              <w:rPr>
                <w:spacing w:val="-4"/>
              </w:rPr>
              <w:t xml:space="preserve"> </w:t>
            </w:r>
            <w:r>
              <w:rPr>
                <w:spacing w:val="-2"/>
              </w:rPr>
              <w:t>month</w:t>
            </w:r>
          </w:p>
        </w:tc>
        <w:tc>
          <w:tcPr>
            <w:tcW w:w="3544" w:type="dxa"/>
          </w:tcPr>
          <w:p w14:paraId="11E1C073" w14:textId="0904B0CE" w:rsidR="00771EAC" w:rsidRPr="00C7358F" w:rsidRDefault="00771EAC" w:rsidP="00771EAC">
            <w:pPr>
              <w:pStyle w:val="TableParagraph"/>
              <w:ind w:left="107" w:right="239"/>
              <w:rPr>
                <w:color w:val="000000" w:themeColor="text1"/>
              </w:rPr>
            </w:pPr>
            <w:r>
              <w:t>Please ensure you claim all your locally</w:t>
            </w:r>
            <w:r>
              <w:rPr>
                <w:spacing w:val="-13"/>
              </w:rPr>
              <w:t xml:space="preserve"> </w:t>
            </w:r>
            <w:r>
              <w:t>commissioned</w:t>
            </w:r>
            <w:r>
              <w:rPr>
                <w:spacing w:val="-11"/>
              </w:rPr>
              <w:t xml:space="preserve"> </w:t>
            </w:r>
            <w:r>
              <w:t>services</w:t>
            </w:r>
            <w:r>
              <w:rPr>
                <w:spacing w:val="-11"/>
              </w:rPr>
              <w:t xml:space="preserve"> </w:t>
            </w:r>
            <w:r>
              <w:t>by the 5th of each month.</w:t>
            </w:r>
          </w:p>
        </w:tc>
        <w:tc>
          <w:tcPr>
            <w:tcW w:w="1764" w:type="dxa"/>
          </w:tcPr>
          <w:p w14:paraId="1CA0A630" w14:textId="77777777" w:rsidR="00771EAC" w:rsidRPr="00C7358F" w:rsidRDefault="00771EAC" w:rsidP="00771EAC">
            <w:pPr>
              <w:pStyle w:val="TableParagraph"/>
              <w:spacing w:line="268" w:lineRule="exact"/>
              <w:ind w:left="107" w:right="239"/>
              <w:rPr>
                <w:color w:val="000000" w:themeColor="text1"/>
              </w:rPr>
            </w:pPr>
          </w:p>
        </w:tc>
      </w:tr>
      <w:tr w:rsidR="00771EAC" w14:paraId="3804D8B7" w14:textId="77777777" w:rsidTr="00116BD5">
        <w:trPr>
          <w:trHeight w:val="980"/>
        </w:trPr>
        <w:tc>
          <w:tcPr>
            <w:tcW w:w="1780" w:type="dxa"/>
          </w:tcPr>
          <w:p w14:paraId="6745EA5D" w14:textId="4CD8017E" w:rsidR="00771EAC" w:rsidRDefault="00771EAC" w:rsidP="00771EAC">
            <w:pPr>
              <w:pStyle w:val="TableParagraph"/>
              <w:ind w:left="107" w:right="239"/>
              <w:rPr>
                <w:color w:val="000000" w:themeColor="text1"/>
              </w:rPr>
            </w:pPr>
            <w:r>
              <w:t>Calendar</w:t>
            </w:r>
            <w:r>
              <w:rPr>
                <w:spacing w:val="-13"/>
              </w:rPr>
              <w:t xml:space="preserve"> </w:t>
            </w:r>
            <w:r>
              <w:t xml:space="preserve">of </w:t>
            </w:r>
            <w:r>
              <w:rPr>
                <w:spacing w:val="-2"/>
              </w:rPr>
              <w:t>national campaigns</w:t>
            </w:r>
          </w:p>
        </w:tc>
        <w:tc>
          <w:tcPr>
            <w:tcW w:w="1843" w:type="dxa"/>
          </w:tcPr>
          <w:p w14:paraId="003CE1CF" w14:textId="389AD285" w:rsidR="00771EAC" w:rsidRDefault="00771EAC" w:rsidP="00771EAC">
            <w:pPr>
              <w:pStyle w:val="TableParagraph"/>
              <w:ind w:left="107" w:right="239"/>
              <w:rPr>
                <w:color w:val="000000" w:themeColor="text1"/>
              </w:rPr>
            </w:pPr>
            <w:r>
              <w:rPr>
                <w:spacing w:val="-2"/>
              </w:rPr>
              <w:t>Contractual requirement</w:t>
            </w:r>
          </w:p>
        </w:tc>
        <w:tc>
          <w:tcPr>
            <w:tcW w:w="1559" w:type="dxa"/>
          </w:tcPr>
          <w:p w14:paraId="3AAF6484" w14:textId="3D58FBD4" w:rsidR="00771EAC" w:rsidRDefault="00771EAC" w:rsidP="00771EAC">
            <w:pPr>
              <w:pStyle w:val="TableParagraph"/>
              <w:ind w:left="107" w:right="239"/>
              <w:rPr>
                <w:color w:val="000000" w:themeColor="text1"/>
              </w:rPr>
            </w:pPr>
            <w:r>
              <w:rPr>
                <w:spacing w:val="-2"/>
              </w:rPr>
              <w:t>Reminder</w:t>
            </w:r>
          </w:p>
        </w:tc>
        <w:tc>
          <w:tcPr>
            <w:tcW w:w="3544" w:type="dxa"/>
          </w:tcPr>
          <w:p w14:paraId="75AFFD22" w14:textId="6F1BBD40" w:rsidR="00771EAC" w:rsidRPr="00771EAC" w:rsidRDefault="00994EAD" w:rsidP="00771EAC">
            <w:pPr>
              <w:pStyle w:val="TableParagraph"/>
              <w:spacing w:before="8" w:line="237" w:lineRule="auto"/>
              <w:ind w:left="3"/>
            </w:pPr>
            <w:hyperlink r:id="rId21">
              <w:r w:rsidR="00771EAC">
                <w:rPr>
                  <w:color w:val="0461C1"/>
                  <w:u w:val="single" w:color="0461C1"/>
                </w:rPr>
                <w:t>Please</w:t>
              </w:r>
              <w:r w:rsidR="00771EAC">
                <w:rPr>
                  <w:color w:val="0461C1"/>
                  <w:spacing w:val="-9"/>
                  <w:u w:val="single" w:color="0461C1"/>
                </w:rPr>
                <w:t xml:space="preserve"> </w:t>
              </w:r>
              <w:r w:rsidR="00771EAC">
                <w:rPr>
                  <w:color w:val="0461C1"/>
                  <w:u w:val="single" w:color="0461C1"/>
                </w:rPr>
                <w:t>find</w:t>
              </w:r>
              <w:r w:rsidR="00771EAC">
                <w:rPr>
                  <w:color w:val="0461C1"/>
                  <w:spacing w:val="-10"/>
                  <w:u w:val="single" w:color="0461C1"/>
                </w:rPr>
                <w:t xml:space="preserve"> </w:t>
              </w:r>
              <w:r w:rsidR="00771EAC">
                <w:rPr>
                  <w:color w:val="0461C1"/>
                  <w:u w:val="single" w:color="0461C1"/>
                </w:rPr>
                <w:t>here</w:t>
              </w:r>
            </w:hyperlink>
            <w:r w:rsidR="00771EAC">
              <w:rPr>
                <w:color w:val="0461C1"/>
                <w:spacing w:val="-10"/>
              </w:rPr>
              <w:t xml:space="preserve"> </w:t>
            </w:r>
            <w:r w:rsidR="00771EAC">
              <w:t>National</w:t>
            </w:r>
            <w:r w:rsidR="00771EAC">
              <w:rPr>
                <w:spacing w:val="-9"/>
              </w:rPr>
              <w:t xml:space="preserve"> </w:t>
            </w:r>
            <w:r w:rsidR="00771EAC">
              <w:t>campaigns, awards and awareness</w:t>
            </w:r>
            <w:r w:rsidR="00771EAC">
              <w:rPr>
                <w:spacing w:val="-7"/>
              </w:rPr>
              <w:t xml:space="preserve"> </w:t>
            </w:r>
            <w:r w:rsidR="00771EAC">
              <w:t>days</w:t>
            </w:r>
            <w:r w:rsidR="00771EAC">
              <w:rPr>
                <w:spacing w:val="-9"/>
              </w:rPr>
              <w:t xml:space="preserve"> </w:t>
            </w:r>
            <w:r w:rsidR="00771EAC">
              <w:t>to</w:t>
            </w:r>
            <w:r w:rsidR="00771EAC">
              <w:rPr>
                <w:spacing w:val="-6"/>
              </w:rPr>
              <w:t xml:space="preserve"> </w:t>
            </w:r>
            <w:r w:rsidR="00771EAC">
              <w:t>help</w:t>
            </w:r>
            <w:r w:rsidR="00771EAC">
              <w:rPr>
                <w:spacing w:val="-10"/>
              </w:rPr>
              <w:t xml:space="preserve"> </w:t>
            </w:r>
            <w:r w:rsidR="00771EAC">
              <w:t>you</w:t>
            </w:r>
            <w:r w:rsidR="00771EAC">
              <w:rPr>
                <w:spacing w:val="-8"/>
              </w:rPr>
              <w:t xml:space="preserve"> </w:t>
            </w:r>
            <w:r w:rsidR="00771EAC">
              <w:t>plan activities for the year.</w:t>
            </w:r>
          </w:p>
        </w:tc>
        <w:tc>
          <w:tcPr>
            <w:tcW w:w="1764" w:type="dxa"/>
          </w:tcPr>
          <w:p w14:paraId="7B8F0020" w14:textId="77777777" w:rsidR="00771EAC" w:rsidRPr="00C7358F" w:rsidRDefault="00771EAC" w:rsidP="00771EAC">
            <w:pPr>
              <w:pStyle w:val="TableParagraph"/>
              <w:spacing w:line="268" w:lineRule="exact"/>
              <w:ind w:left="107" w:right="239"/>
              <w:rPr>
                <w:color w:val="000000" w:themeColor="text1"/>
              </w:rPr>
            </w:pPr>
          </w:p>
        </w:tc>
      </w:tr>
      <w:tr w:rsidR="00771EAC" w14:paraId="317792CE" w14:textId="77777777" w:rsidTr="00033BE1">
        <w:trPr>
          <w:trHeight w:val="980"/>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31C5E6C3" w14:textId="32A5F9F9" w:rsidR="00771EAC" w:rsidRDefault="00771EAC" w:rsidP="00771EAC">
            <w:pPr>
              <w:pStyle w:val="TableParagraph"/>
              <w:ind w:left="107" w:right="239"/>
              <w:rPr>
                <w:color w:val="000000" w:themeColor="text1"/>
              </w:rPr>
            </w:pPr>
            <w:r>
              <w:rPr>
                <w:color w:val="000000" w:themeColor="text1"/>
              </w:rPr>
              <w:t>Mens Health Week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3292E5" w14:textId="7A6EBD17" w:rsidR="00771EAC" w:rsidRDefault="00771EAC" w:rsidP="00771EAC">
            <w:pPr>
              <w:pStyle w:val="TableParagraph"/>
              <w:ind w:left="107" w:right="239"/>
              <w:rPr>
                <w:color w:val="000000" w:themeColor="text1"/>
              </w:rPr>
            </w:pPr>
            <w:r>
              <w:rPr>
                <w:color w:val="000000" w:themeColor="text1"/>
              </w:rPr>
              <w:t>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3A1CAD" w14:textId="15E59043" w:rsidR="00771EAC" w:rsidRDefault="00771EAC" w:rsidP="00771EAC">
            <w:pPr>
              <w:pStyle w:val="TableParagraph"/>
              <w:ind w:left="107" w:right="239"/>
              <w:rPr>
                <w:color w:val="000000" w:themeColor="text1"/>
              </w:rPr>
            </w:pPr>
            <w:r>
              <w:rPr>
                <w:color w:val="000000" w:themeColor="text1"/>
              </w:rPr>
              <w:t>12-18 June 2023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36B0F9B" w14:textId="6C9C7CBD" w:rsidR="00771EAC" w:rsidRPr="00033BE1" w:rsidRDefault="00771EAC" w:rsidP="00771EAC">
            <w:pPr>
              <w:pStyle w:val="TableParagraph"/>
              <w:ind w:left="107" w:right="239"/>
              <w:rPr>
                <w:color w:val="000000" w:themeColor="text1"/>
              </w:rPr>
            </w:pPr>
            <w:r w:rsidRPr="00033BE1">
              <w:rPr>
                <w:color w:val="000000" w:themeColor="text1"/>
              </w:rPr>
              <w:t>Led by the Men's Health Forum to raise awareness of preventable health issues and encourage men and boys to seek professional advice for health-related problems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6D42A9C3" w14:textId="77777777" w:rsidR="00771EAC" w:rsidRPr="00C7358F" w:rsidRDefault="00771EAC" w:rsidP="00771EAC">
            <w:pPr>
              <w:pStyle w:val="TableParagraph"/>
              <w:spacing w:line="268" w:lineRule="exact"/>
              <w:ind w:left="107" w:right="239"/>
              <w:rPr>
                <w:color w:val="000000" w:themeColor="text1"/>
              </w:rPr>
            </w:pPr>
          </w:p>
        </w:tc>
      </w:tr>
      <w:tr w:rsidR="00771EAC" w:rsidRPr="00C7358F" w14:paraId="2EC21BE3" w14:textId="77777777" w:rsidTr="00A5718A">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78DEA783" w14:textId="77777777" w:rsidR="00771EAC" w:rsidRPr="00EE3602" w:rsidRDefault="00771EAC" w:rsidP="00A5718A">
            <w:pPr>
              <w:pStyle w:val="TableParagraph"/>
              <w:ind w:left="107" w:right="239"/>
              <w:rPr>
                <w:color w:val="000000" w:themeColor="text1"/>
              </w:rPr>
            </w:pPr>
            <w:r w:rsidRPr="00EE3602">
              <w:rPr>
                <w:color w:val="000000" w:themeColor="text1"/>
              </w:rPr>
              <w:t>World Blood Donor Day</w:t>
            </w:r>
          </w:p>
          <w:p w14:paraId="10CD39EA" w14:textId="77777777" w:rsidR="00771EAC" w:rsidRPr="00C7358F" w:rsidRDefault="00771EAC" w:rsidP="00A5718A">
            <w:pPr>
              <w:pStyle w:val="TableParagraph"/>
              <w:ind w:left="107" w:right="239"/>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337A16" w14:textId="77777777" w:rsidR="00771EAC" w:rsidRPr="00C7358F" w:rsidRDefault="00771EAC" w:rsidP="00A5718A">
            <w:pPr>
              <w:pStyle w:val="TableParagraph"/>
              <w:ind w:left="107" w:right="239"/>
              <w:rPr>
                <w:color w:val="000000" w:themeColor="text1"/>
              </w:rPr>
            </w:pPr>
            <w:r>
              <w:rPr>
                <w:color w:val="000000" w:themeColor="text1"/>
              </w:rPr>
              <w:t>Information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DF5AAF" w14:textId="77777777" w:rsidR="00771EAC" w:rsidRPr="00C7358F" w:rsidRDefault="00771EAC" w:rsidP="00A5718A">
            <w:pPr>
              <w:pStyle w:val="TableParagraph"/>
              <w:ind w:left="107" w:right="239"/>
              <w:rPr>
                <w:color w:val="000000" w:themeColor="text1"/>
              </w:rPr>
            </w:pPr>
            <w:r>
              <w:rPr>
                <w:color w:val="000000" w:themeColor="text1"/>
              </w:rPr>
              <w:t>14</w:t>
            </w:r>
            <w:r w:rsidRPr="00EE3602">
              <w:rPr>
                <w:color w:val="000000" w:themeColor="text1"/>
                <w:vertAlign w:val="superscript"/>
              </w:rPr>
              <w:t>th</w:t>
            </w:r>
            <w:r>
              <w:rPr>
                <w:color w:val="000000" w:themeColor="text1"/>
              </w:rPr>
              <w:t xml:space="preserve"> June 2023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A6CA5D" w14:textId="77777777" w:rsidR="00771EAC" w:rsidRPr="00C7358F" w:rsidRDefault="00771EAC" w:rsidP="00A5718A">
            <w:pPr>
              <w:pStyle w:val="TableParagraph"/>
              <w:ind w:left="107" w:right="239"/>
              <w:rPr>
                <w:color w:val="000000" w:themeColor="text1"/>
              </w:rPr>
            </w:pPr>
            <w:r w:rsidRPr="00EE3602">
              <w:rPr>
                <w:color w:val="000000" w:themeColor="text1"/>
              </w:rPr>
              <w:t>The event serves to raise awareness of the need for safe blood and blood products and to thank voluntary, unpaid blood donors for their life-saving gifts of blood.</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75ADFCA4" w14:textId="77777777" w:rsidR="00771EAC" w:rsidRPr="00C7358F" w:rsidRDefault="00771EAC" w:rsidP="00A5718A">
            <w:pPr>
              <w:pStyle w:val="TableParagraph"/>
              <w:spacing w:line="268" w:lineRule="exact"/>
              <w:ind w:left="107" w:right="239"/>
              <w:rPr>
                <w:color w:val="000000" w:themeColor="text1"/>
              </w:rPr>
            </w:pPr>
          </w:p>
        </w:tc>
      </w:tr>
      <w:tr w:rsidR="00771EAC" w:rsidRPr="00C7358F" w14:paraId="3AD055E8" w14:textId="77777777" w:rsidTr="00A5718A">
        <w:trPr>
          <w:trHeight w:val="53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6F50EEF4" w14:textId="78A60E3A" w:rsidR="00771EAC" w:rsidRPr="00EE3602" w:rsidRDefault="00771EAC" w:rsidP="00771EAC">
            <w:pPr>
              <w:pStyle w:val="TableParagraph"/>
              <w:ind w:right="239"/>
              <w:rPr>
                <w:color w:val="000000" w:themeColor="text1"/>
              </w:rPr>
            </w:pPr>
            <w:r>
              <w:rPr>
                <w:color w:val="000000" w:themeColor="text1"/>
              </w:rPr>
              <w:t xml:space="preserve">Mailing List and WhatsApp group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EBEE0C" w14:textId="7CC98216" w:rsidR="00771EAC" w:rsidRDefault="00771EAC" w:rsidP="00A5718A">
            <w:pPr>
              <w:pStyle w:val="TableParagraph"/>
              <w:ind w:left="107" w:right="239"/>
              <w:rPr>
                <w:color w:val="000000" w:themeColor="text1"/>
              </w:rPr>
            </w:pPr>
            <w:r>
              <w:rPr>
                <w:color w:val="000000" w:themeColor="text1"/>
              </w:rPr>
              <w:t xml:space="preserve">Information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17E8F3" w14:textId="415E5FD2" w:rsidR="00771EAC" w:rsidRDefault="00771EAC" w:rsidP="00A5718A">
            <w:pPr>
              <w:pStyle w:val="TableParagraph"/>
              <w:ind w:left="107" w:right="239"/>
              <w:rPr>
                <w:color w:val="000000" w:themeColor="text1"/>
              </w:rPr>
            </w:pPr>
            <w:r>
              <w:rPr>
                <w:color w:val="000000" w:themeColor="text1"/>
              </w:rPr>
              <w:t xml:space="preserve">ACT NOW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507AA9" w14:textId="368878ED" w:rsidR="00771EAC" w:rsidRPr="00EE3602" w:rsidRDefault="00771EAC" w:rsidP="00A5718A">
            <w:pPr>
              <w:pStyle w:val="TableParagraph"/>
              <w:ind w:left="107" w:right="239"/>
              <w:rPr>
                <w:color w:val="000000" w:themeColor="text1"/>
              </w:rPr>
            </w:pPr>
            <w:r>
              <w:t xml:space="preserve">Encourage your locums and reliefs to join our mailing list to ensure they are up to date with the latest news and local updates.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14:paraId="067E6AB5" w14:textId="77777777" w:rsidR="00771EAC" w:rsidRPr="00C7358F" w:rsidRDefault="00771EAC" w:rsidP="00A5718A">
            <w:pPr>
              <w:pStyle w:val="TableParagraph"/>
              <w:spacing w:line="268" w:lineRule="exact"/>
              <w:ind w:left="107" w:right="239"/>
              <w:rPr>
                <w:color w:val="000000" w:themeColor="text1"/>
              </w:rPr>
            </w:pPr>
          </w:p>
        </w:tc>
      </w:tr>
    </w:tbl>
    <w:p w14:paraId="255E33DB" w14:textId="77777777" w:rsidR="00162A4A" w:rsidRDefault="00162A4A">
      <w:pPr>
        <w:rPr>
          <w:rFonts w:ascii="Times New Roman"/>
        </w:rPr>
      </w:pPr>
    </w:p>
    <w:p w14:paraId="3050B4A3" w14:textId="77777777" w:rsidR="00515869" w:rsidRPr="00515869" w:rsidRDefault="00515869" w:rsidP="00515869">
      <w:pPr>
        <w:rPr>
          <w:rFonts w:ascii="Times New Roman"/>
        </w:rPr>
      </w:pPr>
    </w:p>
    <w:p w14:paraId="4BCD5EA7" w14:textId="77777777" w:rsidR="00515869" w:rsidRPr="00515869" w:rsidRDefault="00515869" w:rsidP="00515869">
      <w:pPr>
        <w:rPr>
          <w:rFonts w:ascii="Times New Roman"/>
        </w:rPr>
      </w:pPr>
    </w:p>
    <w:p w14:paraId="5B575FF1" w14:textId="77777777" w:rsidR="00515869" w:rsidRPr="00515869" w:rsidRDefault="00515869" w:rsidP="00515869">
      <w:pPr>
        <w:rPr>
          <w:rFonts w:ascii="Times New Roman"/>
        </w:rPr>
      </w:pPr>
    </w:p>
    <w:p w14:paraId="5B51B43B" w14:textId="77777777" w:rsidR="00515869" w:rsidRPr="00515869" w:rsidRDefault="00515869" w:rsidP="00515869">
      <w:pPr>
        <w:rPr>
          <w:rFonts w:ascii="Times New Roman"/>
        </w:rPr>
      </w:pPr>
    </w:p>
    <w:tbl>
      <w:tblPr>
        <w:tblStyle w:val="TableGrid"/>
        <w:tblW w:w="0" w:type="auto"/>
        <w:tblLook w:val="04A0" w:firstRow="1" w:lastRow="0" w:firstColumn="1" w:lastColumn="0" w:noHBand="0" w:noVBand="1"/>
      </w:tblPr>
      <w:tblGrid>
        <w:gridCol w:w="5400"/>
        <w:gridCol w:w="5400"/>
      </w:tblGrid>
      <w:tr w:rsidR="00771EAC" w14:paraId="1B1A0FB4" w14:textId="77777777" w:rsidTr="00771EAC">
        <w:tc>
          <w:tcPr>
            <w:tcW w:w="10800" w:type="dxa"/>
            <w:gridSpan w:val="2"/>
            <w:shd w:val="clear" w:color="auto" w:fill="92D050"/>
          </w:tcPr>
          <w:p w14:paraId="334EE3C7" w14:textId="3A418397" w:rsidR="00771EAC" w:rsidRPr="00D14F80" w:rsidRDefault="00771EAC" w:rsidP="00771EAC">
            <w:pPr>
              <w:pStyle w:val="BodyText"/>
              <w:spacing w:before="72"/>
              <w:ind w:left="143"/>
              <w:jc w:val="center"/>
              <w:rPr>
                <w:b/>
                <w:bCs/>
              </w:rPr>
            </w:pPr>
            <w:r w:rsidRPr="00D14F80">
              <w:rPr>
                <w:b/>
                <w:bCs/>
              </w:rPr>
              <w:t>If</w:t>
            </w:r>
            <w:r w:rsidRPr="00D14F80">
              <w:rPr>
                <w:b/>
                <w:bCs/>
                <w:spacing w:val="-5"/>
              </w:rPr>
              <w:t xml:space="preserve"> </w:t>
            </w:r>
            <w:r w:rsidRPr="00D14F80">
              <w:rPr>
                <w:b/>
                <w:bCs/>
              </w:rPr>
              <w:t>you</w:t>
            </w:r>
            <w:r w:rsidRPr="00D14F80">
              <w:rPr>
                <w:b/>
                <w:bCs/>
                <w:spacing w:val="-5"/>
              </w:rPr>
              <w:t xml:space="preserve"> </w:t>
            </w:r>
            <w:r w:rsidRPr="00D14F80">
              <w:rPr>
                <w:b/>
                <w:bCs/>
              </w:rPr>
              <w:t>require</w:t>
            </w:r>
            <w:r w:rsidRPr="00D14F80">
              <w:rPr>
                <w:b/>
                <w:bCs/>
                <w:spacing w:val="-2"/>
              </w:rPr>
              <w:t xml:space="preserve"> </w:t>
            </w:r>
            <w:r w:rsidRPr="00D14F80">
              <w:rPr>
                <w:b/>
                <w:bCs/>
              </w:rPr>
              <w:t>additional</w:t>
            </w:r>
            <w:r w:rsidRPr="00D14F80">
              <w:rPr>
                <w:b/>
                <w:bCs/>
                <w:spacing w:val="-3"/>
              </w:rPr>
              <w:t xml:space="preserve"> </w:t>
            </w:r>
            <w:r w:rsidRPr="00D14F80">
              <w:rPr>
                <w:b/>
                <w:bCs/>
              </w:rPr>
              <w:t>support</w:t>
            </w:r>
            <w:r w:rsidRPr="00D14F80">
              <w:rPr>
                <w:b/>
                <w:bCs/>
                <w:spacing w:val="-2"/>
              </w:rPr>
              <w:t xml:space="preserve"> </w:t>
            </w:r>
            <w:r w:rsidRPr="00D14F80">
              <w:rPr>
                <w:b/>
                <w:bCs/>
              </w:rPr>
              <w:t>from</w:t>
            </w:r>
            <w:r w:rsidRPr="00D14F80">
              <w:rPr>
                <w:b/>
                <w:bCs/>
                <w:spacing w:val="-4"/>
              </w:rPr>
              <w:t xml:space="preserve"> </w:t>
            </w:r>
            <w:r w:rsidRPr="00D14F80">
              <w:rPr>
                <w:b/>
                <w:bCs/>
              </w:rPr>
              <w:t>the</w:t>
            </w:r>
            <w:r w:rsidRPr="00D14F80">
              <w:rPr>
                <w:b/>
                <w:bCs/>
                <w:spacing w:val="-4"/>
              </w:rPr>
              <w:t xml:space="preserve"> </w:t>
            </w:r>
            <w:r w:rsidRPr="00D14F80">
              <w:rPr>
                <w:b/>
                <w:bCs/>
              </w:rPr>
              <w:t>LPC,</w:t>
            </w:r>
            <w:r w:rsidRPr="00D14F80">
              <w:rPr>
                <w:b/>
                <w:bCs/>
                <w:spacing w:val="-3"/>
              </w:rPr>
              <w:t xml:space="preserve"> </w:t>
            </w:r>
            <w:r w:rsidRPr="00D14F80">
              <w:rPr>
                <w:b/>
                <w:bCs/>
              </w:rPr>
              <w:t>please</w:t>
            </w:r>
            <w:r w:rsidRPr="00D14F80">
              <w:rPr>
                <w:b/>
                <w:bCs/>
                <w:spacing w:val="-4"/>
              </w:rPr>
              <w:t xml:space="preserve"> </w:t>
            </w:r>
            <w:r w:rsidRPr="00D14F80">
              <w:rPr>
                <w:b/>
                <w:bCs/>
              </w:rPr>
              <w:t>contact</w:t>
            </w:r>
            <w:r w:rsidRPr="00D14F80">
              <w:rPr>
                <w:b/>
                <w:bCs/>
                <w:spacing w:val="-2"/>
              </w:rPr>
              <w:t xml:space="preserve"> </w:t>
            </w:r>
            <w:r w:rsidRPr="00D14F80">
              <w:rPr>
                <w:b/>
                <w:bCs/>
              </w:rPr>
              <w:t>any</w:t>
            </w:r>
            <w:r w:rsidRPr="00D14F80">
              <w:rPr>
                <w:b/>
                <w:bCs/>
                <w:spacing w:val="-4"/>
              </w:rPr>
              <w:t xml:space="preserve"> </w:t>
            </w:r>
            <w:r w:rsidRPr="00D14F80">
              <w:rPr>
                <w:b/>
                <w:bCs/>
              </w:rPr>
              <w:t>member</w:t>
            </w:r>
            <w:r w:rsidRPr="00D14F80">
              <w:rPr>
                <w:b/>
                <w:bCs/>
                <w:spacing w:val="-5"/>
              </w:rPr>
              <w:t xml:space="preserve"> </w:t>
            </w:r>
            <w:r w:rsidRPr="00D14F80">
              <w:rPr>
                <w:b/>
                <w:bCs/>
              </w:rPr>
              <w:t>of</w:t>
            </w:r>
            <w:r w:rsidRPr="00D14F80">
              <w:rPr>
                <w:b/>
                <w:bCs/>
                <w:spacing w:val="-2"/>
              </w:rPr>
              <w:t xml:space="preserve"> </w:t>
            </w:r>
            <w:r w:rsidRPr="00D14F80">
              <w:rPr>
                <w:b/>
                <w:bCs/>
              </w:rPr>
              <w:t>the</w:t>
            </w:r>
            <w:r w:rsidRPr="00D14F80">
              <w:rPr>
                <w:b/>
                <w:bCs/>
                <w:spacing w:val="-4"/>
              </w:rPr>
              <w:t xml:space="preserve"> </w:t>
            </w:r>
            <w:r w:rsidRPr="00D14F80">
              <w:rPr>
                <w:b/>
                <w:bCs/>
                <w:spacing w:val="-2"/>
              </w:rPr>
              <w:t>team:</w:t>
            </w:r>
          </w:p>
          <w:p w14:paraId="050139FB" w14:textId="77777777" w:rsidR="00771EAC" w:rsidRDefault="00771EAC" w:rsidP="00515869">
            <w:pPr>
              <w:rPr>
                <w:rFonts w:ascii="Times New Roman"/>
              </w:rPr>
            </w:pPr>
          </w:p>
        </w:tc>
      </w:tr>
      <w:tr w:rsidR="00771EAC" w14:paraId="02585B13" w14:textId="77777777" w:rsidTr="00771EAC">
        <w:tc>
          <w:tcPr>
            <w:tcW w:w="5400" w:type="dxa"/>
          </w:tcPr>
          <w:p w14:paraId="51D924BC" w14:textId="54615837" w:rsidR="00771EAC" w:rsidRPr="00771EAC" w:rsidRDefault="00771EAC" w:rsidP="00515869">
            <w:pPr>
              <w:rPr>
                <w:rFonts w:asciiTheme="minorHAnsi" w:hAnsiTheme="minorHAnsi" w:cstheme="minorHAnsi"/>
              </w:rPr>
            </w:pPr>
            <w:r w:rsidRPr="00771EAC">
              <w:rPr>
                <w:rFonts w:asciiTheme="minorHAnsi" w:hAnsiTheme="minorHAnsi" w:cstheme="minorHAnsi"/>
              </w:rPr>
              <w:t xml:space="preserve">Rajshri Owen- Chief Officer </w:t>
            </w:r>
          </w:p>
        </w:tc>
        <w:tc>
          <w:tcPr>
            <w:tcW w:w="5400" w:type="dxa"/>
          </w:tcPr>
          <w:p w14:paraId="126330EB" w14:textId="6BA57156" w:rsidR="00771EAC" w:rsidRPr="00771EAC" w:rsidRDefault="00771EAC" w:rsidP="00515869">
            <w:pPr>
              <w:rPr>
                <w:rFonts w:asciiTheme="minorHAnsi" w:hAnsiTheme="minorHAnsi" w:cstheme="minorHAnsi"/>
              </w:rPr>
            </w:pPr>
            <w:r w:rsidRPr="00771EAC">
              <w:rPr>
                <w:rFonts w:asciiTheme="minorHAnsi" w:hAnsiTheme="minorHAnsi" w:cstheme="minorHAnsi"/>
              </w:rPr>
              <w:t>chiefofficer@leics-lpc.co.uk</w:t>
            </w:r>
          </w:p>
        </w:tc>
      </w:tr>
      <w:tr w:rsidR="00771EAC" w14:paraId="7FA09172" w14:textId="77777777" w:rsidTr="00771EAC">
        <w:tc>
          <w:tcPr>
            <w:tcW w:w="5400" w:type="dxa"/>
          </w:tcPr>
          <w:p w14:paraId="12AAA81E" w14:textId="2A059F59" w:rsidR="00771EAC" w:rsidRPr="00771EAC" w:rsidRDefault="00771EAC" w:rsidP="00515869">
            <w:pPr>
              <w:rPr>
                <w:rFonts w:asciiTheme="minorHAnsi" w:hAnsiTheme="minorHAnsi" w:cstheme="minorHAnsi"/>
              </w:rPr>
            </w:pPr>
            <w:r w:rsidRPr="00771EAC">
              <w:rPr>
                <w:rFonts w:asciiTheme="minorHAnsi" w:hAnsiTheme="minorHAnsi" w:cstheme="minorHAnsi"/>
              </w:rPr>
              <w:t>Kate – Administrator</w:t>
            </w:r>
          </w:p>
        </w:tc>
        <w:tc>
          <w:tcPr>
            <w:tcW w:w="5400" w:type="dxa"/>
          </w:tcPr>
          <w:p w14:paraId="380053EE" w14:textId="1EB6582C" w:rsidR="00771EAC" w:rsidRPr="00771EAC" w:rsidRDefault="00994EAD" w:rsidP="00515869">
            <w:pPr>
              <w:rPr>
                <w:rFonts w:asciiTheme="minorHAnsi" w:hAnsiTheme="minorHAnsi" w:cstheme="minorHAnsi"/>
              </w:rPr>
            </w:pPr>
            <w:hyperlink r:id="rId22">
              <w:r w:rsidR="00771EAC" w:rsidRPr="00771EAC">
                <w:rPr>
                  <w:rFonts w:asciiTheme="minorHAnsi" w:hAnsiTheme="minorHAnsi" w:cstheme="minorHAnsi"/>
                  <w:color w:val="0000FF"/>
                  <w:spacing w:val="-2"/>
                  <w:u w:val="single" w:color="0000FF"/>
                </w:rPr>
                <w:t>admin@leics-lpc.co.uk</w:t>
              </w:r>
            </w:hyperlink>
          </w:p>
        </w:tc>
      </w:tr>
      <w:tr w:rsidR="00771EAC" w14:paraId="34C68605" w14:textId="77777777" w:rsidTr="00771EAC">
        <w:tc>
          <w:tcPr>
            <w:tcW w:w="5400" w:type="dxa"/>
          </w:tcPr>
          <w:p w14:paraId="4DF8C743" w14:textId="2C9C8513" w:rsidR="00771EAC" w:rsidRPr="00771EAC" w:rsidRDefault="00771EAC" w:rsidP="00515869">
            <w:pPr>
              <w:rPr>
                <w:rFonts w:asciiTheme="minorHAnsi" w:hAnsiTheme="minorHAnsi" w:cstheme="minorHAnsi"/>
              </w:rPr>
            </w:pPr>
            <w:r w:rsidRPr="00771EAC">
              <w:rPr>
                <w:rFonts w:asciiTheme="minorHAnsi" w:hAnsiTheme="minorHAnsi" w:cstheme="minorHAnsi"/>
              </w:rPr>
              <w:t>Gareth</w:t>
            </w:r>
            <w:r w:rsidRPr="00771EAC">
              <w:rPr>
                <w:rFonts w:asciiTheme="minorHAnsi" w:hAnsiTheme="minorHAnsi" w:cstheme="minorHAnsi"/>
                <w:spacing w:val="-5"/>
              </w:rPr>
              <w:t xml:space="preserve"> </w:t>
            </w:r>
            <w:r w:rsidRPr="00771EAC">
              <w:rPr>
                <w:rFonts w:asciiTheme="minorHAnsi" w:hAnsiTheme="minorHAnsi" w:cstheme="minorHAnsi"/>
              </w:rPr>
              <w:t>McCague</w:t>
            </w:r>
            <w:r w:rsidRPr="00771EAC">
              <w:rPr>
                <w:rFonts w:asciiTheme="minorHAnsi" w:hAnsiTheme="minorHAnsi" w:cstheme="minorHAnsi"/>
                <w:spacing w:val="-5"/>
              </w:rPr>
              <w:t xml:space="preserve"> </w:t>
            </w:r>
            <w:r w:rsidRPr="00771EAC">
              <w:rPr>
                <w:rFonts w:asciiTheme="minorHAnsi" w:hAnsiTheme="minorHAnsi" w:cstheme="minorHAnsi"/>
              </w:rPr>
              <w:t>–</w:t>
            </w:r>
            <w:r w:rsidRPr="00771EAC">
              <w:rPr>
                <w:rFonts w:asciiTheme="minorHAnsi" w:hAnsiTheme="minorHAnsi" w:cstheme="minorHAnsi"/>
                <w:spacing w:val="-2"/>
              </w:rPr>
              <w:t xml:space="preserve"> </w:t>
            </w:r>
            <w:r w:rsidRPr="00771EAC">
              <w:rPr>
                <w:rFonts w:asciiTheme="minorHAnsi" w:hAnsiTheme="minorHAnsi" w:cstheme="minorHAnsi"/>
              </w:rPr>
              <w:t>Service</w:t>
            </w:r>
            <w:r w:rsidRPr="00771EAC">
              <w:rPr>
                <w:rFonts w:asciiTheme="minorHAnsi" w:hAnsiTheme="minorHAnsi" w:cstheme="minorHAnsi"/>
                <w:spacing w:val="-13"/>
              </w:rPr>
              <w:t xml:space="preserve"> </w:t>
            </w:r>
            <w:r w:rsidRPr="00771EAC">
              <w:rPr>
                <w:rFonts w:asciiTheme="minorHAnsi" w:hAnsiTheme="minorHAnsi" w:cstheme="minorHAnsi"/>
              </w:rPr>
              <w:t>Delivery</w:t>
            </w:r>
            <w:r w:rsidRPr="00771EAC">
              <w:rPr>
                <w:rFonts w:asciiTheme="minorHAnsi" w:hAnsiTheme="minorHAnsi" w:cstheme="minorHAnsi"/>
                <w:spacing w:val="-4"/>
              </w:rPr>
              <w:t xml:space="preserve"> </w:t>
            </w:r>
            <w:r w:rsidRPr="00771EAC">
              <w:rPr>
                <w:rFonts w:asciiTheme="minorHAnsi" w:hAnsiTheme="minorHAnsi" w:cstheme="minorHAnsi"/>
              </w:rPr>
              <w:t>Facilitator</w:t>
            </w:r>
          </w:p>
        </w:tc>
        <w:tc>
          <w:tcPr>
            <w:tcW w:w="5400" w:type="dxa"/>
          </w:tcPr>
          <w:p w14:paraId="5C013120" w14:textId="31E4698E" w:rsidR="00771EAC" w:rsidRPr="00771EAC" w:rsidRDefault="00994EAD" w:rsidP="00515869">
            <w:pPr>
              <w:rPr>
                <w:rFonts w:asciiTheme="minorHAnsi" w:hAnsiTheme="minorHAnsi" w:cstheme="minorHAnsi"/>
              </w:rPr>
            </w:pPr>
            <w:hyperlink r:id="rId23">
              <w:r w:rsidR="00771EAC" w:rsidRPr="00771EAC">
                <w:rPr>
                  <w:rFonts w:asciiTheme="minorHAnsi" w:hAnsiTheme="minorHAnsi" w:cstheme="minorHAnsi"/>
                  <w:color w:val="0000FF"/>
                  <w:u w:val="single" w:color="0000FF"/>
                </w:rPr>
                <w:t>service.support@leics-</w:t>
              </w:r>
            </w:hyperlink>
            <w:r w:rsidR="00771EAC" w:rsidRPr="00771EAC">
              <w:rPr>
                <w:rFonts w:asciiTheme="minorHAnsi" w:hAnsiTheme="minorHAnsi" w:cstheme="minorHAnsi"/>
                <w:color w:val="0000FF"/>
              </w:rPr>
              <w:t xml:space="preserve"> </w:t>
            </w:r>
            <w:hyperlink r:id="rId24">
              <w:r w:rsidR="00771EAC" w:rsidRPr="00771EAC">
                <w:rPr>
                  <w:rFonts w:asciiTheme="minorHAnsi" w:hAnsiTheme="minorHAnsi" w:cstheme="minorHAnsi"/>
                  <w:color w:val="0000FF"/>
                  <w:spacing w:val="-2"/>
                  <w:u w:val="single" w:color="0000FF"/>
                </w:rPr>
                <w:t>lpc.co.uk</w:t>
              </w:r>
            </w:hyperlink>
          </w:p>
        </w:tc>
      </w:tr>
      <w:tr w:rsidR="00771EAC" w14:paraId="305D34D9" w14:textId="77777777" w:rsidTr="00771EAC">
        <w:tc>
          <w:tcPr>
            <w:tcW w:w="5400" w:type="dxa"/>
          </w:tcPr>
          <w:p w14:paraId="3F104F26" w14:textId="1E3046F0" w:rsidR="00771EAC" w:rsidRPr="00771EAC" w:rsidRDefault="00771EAC" w:rsidP="00771EAC">
            <w:pPr>
              <w:pStyle w:val="BodyText"/>
              <w:spacing w:before="1" w:line="267" w:lineRule="exact"/>
              <w:jc w:val="both"/>
              <w:rPr>
                <w:rFonts w:asciiTheme="minorHAnsi" w:hAnsiTheme="minorHAnsi" w:cstheme="minorHAnsi"/>
              </w:rPr>
            </w:pPr>
            <w:r w:rsidRPr="00771EAC">
              <w:rPr>
                <w:rFonts w:asciiTheme="minorHAnsi" w:hAnsiTheme="minorHAnsi" w:cstheme="minorHAnsi"/>
              </w:rPr>
              <w:t>Vinay</w:t>
            </w:r>
            <w:r w:rsidRPr="00771EAC">
              <w:rPr>
                <w:rFonts w:asciiTheme="minorHAnsi" w:hAnsiTheme="minorHAnsi" w:cstheme="minorHAnsi"/>
                <w:spacing w:val="-9"/>
              </w:rPr>
              <w:t xml:space="preserve"> </w:t>
            </w:r>
            <w:r w:rsidRPr="00771EAC">
              <w:rPr>
                <w:rFonts w:asciiTheme="minorHAnsi" w:hAnsiTheme="minorHAnsi" w:cstheme="minorHAnsi"/>
              </w:rPr>
              <w:t>Mistry-Service</w:t>
            </w:r>
            <w:r w:rsidRPr="00771EAC">
              <w:rPr>
                <w:rFonts w:asciiTheme="minorHAnsi" w:hAnsiTheme="minorHAnsi" w:cstheme="minorHAnsi"/>
                <w:spacing w:val="-12"/>
              </w:rPr>
              <w:t xml:space="preserve"> </w:t>
            </w:r>
            <w:r w:rsidRPr="00771EAC">
              <w:rPr>
                <w:rFonts w:asciiTheme="minorHAnsi" w:hAnsiTheme="minorHAnsi" w:cstheme="minorHAnsi"/>
              </w:rPr>
              <w:t>Development</w:t>
            </w:r>
            <w:r w:rsidRPr="00771EAC">
              <w:rPr>
                <w:rFonts w:asciiTheme="minorHAnsi" w:hAnsiTheme="minorHAnsi" w:cstheme="minorHAnsi"/>
                <w:spacing w:val="-8"/>
              </w:rPr>
              <w:t xml:space="preserve"> </w:t>
            </w:r>
            <w:r w:rsidRPr="00771EAC">
              <w:rPr>
                <w:rFonts w:asciiTheme="minorHAnsi" w:hAnsiTheme="minorHAnsi" w:cstheme="minorHAnsi"/>
                <w:spacing w:val="-4"/>
              </w:rPr>
              <w:t>Lead</w:t>
            </w:r>
          </w:p>
        </w:tc>
        <w:tc>
          <w:tcPr>
            <w:tcW w:w="5400" w:type="dxa"/>
          </w:tcPr>
          <w:p w14:paraId="6FB93CC5" w14:textId="16A7AB75" w:rsidR="00771EAC" w:rsidRPr="00771EAC" w:rsidRDefault="00994EAD" w:rsidP="00771EAC">
            <w:pPr>
              <w:pStyle w:val="BodyText"/>
              <w:spacing w:line="267" w:lineRule="exact"/>
              <w:rPr>
                <w:rFonts w:asciiTheme="minorHAnsi" w:hAnsiTheme="minorHAnsi" w:cstheme="minorHAnsi"/>
              </w:rPr>
            </w:pPr>
            <w:hyperlink r:id="rId25">
              <w:r w:rsidR="00771EAC" w:rsidRPr="00771EAC">
                <w:rPr>
                  <w:rFonts w:asciiTheme="minorHAnsi" w:hAnsiTheme="minorHAnsi" w:cstheme="minorHAnsi"/>
                  <w:color w:val="0000FF"/>
                  <w:spacing w:val="-2"/>
                  <w:u w:val="single" w:color="0000FF"/>
                </w:rPr>
                <w:t>servicedevelopmentlead@leics</w:t>
              </w:r>
            </w:hyperlink>
            <w:r w:rsidR="00771EAC" w:rsidRPr="00771EAC">
              <w:rPr>
                <w:rFonts w:asciiTheme="minorHAnsi" w:hAnsiTheme="minorHAnsi" w:cstheme="minorHAnsi"/>
                <w:color w:val="0000FF"/>
                <w:spacing w:val="-2"/>
                <w:u w:val="single" w:color="0000FF"/>
              </w:rPr>
              <w:t>-lpc.co.uk</w:t>
            </w:r>
          </w:p>
        </w:tc>
      </w:tr>
    </w:tbl>
    <w:p w14:paraId="7C824200" w14:textId="6440E26F" w:rsidR="00515869" w:rsidRPr="00515869" w:rsidRDefault="00515869" w:rsidP="00515869">
      <w:pPr>
        <w:rPr>
          <w:rFonts w:ascii="Times New Roman"/>
        </w:rPr>
      </w:pPr>
    </w:p>
    <w:p w14:paraId="09687C39" w14:textId="60F80C73" w:rsidR="00515869" w:rsidRPr="00515869" w:rsidRDefault="00515869" w:rsidP="00515869">
      <w:pPr>
        <w:rPr>
          <w:rFonts w:ascii="Times New Roman"/>
        </w:rPr>
      </w:pPr>
    </w:p>
    <w:p w14:paraId="23865F65" w14:textId="77777777" w:rsidR="00515869" w:rsidRPr="00515869" w:rsidRDefault="00515869" w:rsidP="00515869">
      <w:pPr>
        <w:rPr>
          <w:rFonts w:ascii="Times New Roman"/>
        </w:rPr>
      </w:pPr>
    </w:p>
    <w:p w14:paraId="129CD582" w14:textId="77777777" w:rsidR="00515869" w:rsidRPr="00515869" w:rsidRDefault="00515869" w:rsidP="00515869">
      <w:pPr>
        <w:rPr>
          <w:rFonts w:ascii="Times New Roman"/>
        </w:rPr>
      </w:pPr>
    </w:p>
    <w:p w14:paraId="0E9AB7DC" w14:textId="77777777" w:rsidR="00515869" w:rsidRPr="00515869" w:rsidRDefault="00515869" w:rsidP="00515869">
      <w:pPr>
        <w:rPr>
          <w:rFonts w:ascii="Times New Roman"/>
        </w:rPr>
      </w:pPr>
    </w:p>
    <w:p w14:paraId="7AB2B3D8" w14:textId="77777777" w:rsidR="00515869" w:rsidRPr="00515869" w:rsidRDefault="00515869" w:rsidP="00515869">
      <w:pPr>
        <w:rPr>
          <w:rFonts w:ascii="Times New Roman"/>
        </w:rPr>
      </w:pPr>
    </w:p>
    <w:p w14:paraId="0958BA3C" w14:textId="77777777" w:rsidR="00515869" w:rsidRPr="00515869" w:rsidRDefault="00515869" w:rsidP="00515869">
      <w:pPr>
        <w:rPr>
          <w:rFonts w:ascii="Times New Roman"/>
        </w:rPr>
      </w:pPr>
    </w:p>
    <w:p w14:paraId="468E595F" w14:textId="77777777" w:rsidR="00515869" w:rsidRPr="00515869" w:rsidRDefault="00515869" w:rsidP="00515869">
      <w:pPr>
        <w:rPr>
          <w:rFonts w:ascii="Times New Roman"/>
        </w:rPr>
      </w:pPr>
    </w:p>
    <w:p w14:paraId="5DA58DC1" w14:textId="77777777" w:rsidR="00515869" w:rsidRPr="00515869" w:rsidRDefault="00515869" w:rsidP="00515869">
      <w:pPr>
        <w:rPr>
          <w:rFonts w:ascii="Times New Roman"/>
        </w:rPr>
      </w:pPr>
    </w:p>
    <w:p w14:paraId="2179B3C0" w14:textId="77777777" w:rsidR="00515869" w:rsidRPr="00515869" w:rsidRDefault="00515869" w:rsidP="00515869">
      <w:pPr>
        <w:rPr>
          <w:rFonts w:ascii="Times New Roman"/>
        </w:rPr>
      </w:pPr>
    </w:p>
    <w:p w14:paraId="5509A69B" w14:textId="77777777" w:rsidR="00515869" w:rsidRPr="00515869" w:rsidRDefault="00515869" w:rsidP="00515869">
      <w:pPr>
        <w:rPr>
          <w:rFonts w:ascii="Times New Roman"/>
        </w:rPr>
      </w:pPr>
    </w:p>
    <w:p w14:paraId="107DBB06" w14:textId="77777777" w:rsidR="00515869" w:rsidRPr="00515869" w:rsidRDefault="00515869" w:rsidP="00515869">
      <w:pPr>
        <w:rPr>
          <w:rFonts w:ascii="Times New Roman"/>
        </w:rPr>
      </w:pPr>
    </w:p>
    <w:p w14:paraId="3E48AA11" w14:textId="77777777" w:rsidR="00515869" w:rsidRPr="00515869" w:rsidRDefault="00515869" w:rsidP="00515869">
      <w:pPr>
        <w:rPr>
          <w:rFonts w:ascii="Times New Roman"/>
        </w:rPr>
      </w:pPr>
    </w:p>
    <w:p w14:paraId="1A17019D" w14:textId="77777777" w:rsidR="00515869" w:rsidRPr="00515869" w:rsidRDefault="00515869" w:rsidP="00515869">
      <w:pPr>
        <w:rPr>
          <w:rFonts w:ascii="Times New Roman"/>
        </w:rPr>
      </w:pPr>
    </w:p>
    <w:p w14:paraId="0ECF0CF9" w14:textId="77777777" w:rsidR="00515869" w:rsidRDefault="00515869" w:rsidP="00515869">
      <w:pPr>
        <w:rPr>
          <w:rFonts w:ascii="Times New Roman"/>
        </w:rPr>
      </w:pPr>
    </w:p>
    <w:p w14:paraId="6A651AB2" w14:textId="092942A2" w:rsidR="00162A4A" w:rsidRDefault="00162A4A" w:rsidP="00515869">
      <w:pPr>
        <w:tabs>
          <w:tab w:val="left" w:pos="1440"/>
        </w:tabs>
        <w:rPr>
          <w:sz w:val="11"/>
        </w:rPr>
      </w:pPr>
    </w:p>
    <w:sectPr w:rsidR="00162A4A">
      <w:pgSz w:w="11910" w:h="16840"/>
      <w:pgMar w:top="660" w:right="5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0A7"/>
    <w:multiLevelType w:val="multilevel"/>
    <w:tmpl w:val="70DE92FA"/>
    <w:styleLink w:val="WWNum2"/>
    <w:lvl w:ilvl="0">
      <w:numFmt w:val="bullet"/>
      <w:lvlText w:val="•"/>
      <w:lvlJc w:val="left"/>
      <w:pPr>
        <w:ind w:left="270" w:hanging="161"/>
      </w:pPr>
      <w:rPr>
        <w:rFonts w:ascii="Calibri" w:eastAsia="Calibri" w:hAnsi="Calibri" w:cs="Calibri"/>
        <w:b w:val="0"/>
        <w:bCs w:val="0"/>
        <w:i w:val="0"/>
        <w:iCs w:val="0"/>
        <w:w w:val="100"/>
        <w:sz w:val="22"/>
        <w:szCs w:val="22"/>
        <w:lang w:val="en-US" w:eastAsia="en-US" w:bidi="ar-SA"/>
      </w:rPr>
    </w:lvl>
    <w:lvl w:ilvl="1">
      <w:numFmt w:val="bullet"/>
      <w:lvlText w:val="•"/>
      <w:lvlJc w:val="left"/>
      <w:pPr>
        <w:ind w:left="605" w:hanging="161"/>
      </w:pPr>
      <w:rPr>
        <w:lang w:val="en-US" w:eastAsia="en-US" w:bidi="ar-SA"/>
      </w:rPr>
    </w:lvl>
    <w:lvl w:ilvl="2">
      <w:numFmt w:val="bullet"/>
      <w:lvlText w:val="•"/>
      <w:lvlJc w:val="left"/>
      <w:pPr>
        <w:ind w:left="930" w:hanging="161"/>
      </w:pPr>
      <w:rPr>
        <w:lang w:val="en-US" w:eastAsia="en-US" w:bidi="ar-SA"/>
      </w:rPr>
    </w:lvl>
    <w:lvl w:ilvl="3">
      <w:numFmt w:val="bullet"/>
      <w:lvlText w:val="•"/>
      <w:lvlJc w:val="left"/>
      <w:pPr>
        <w:ind w:left="1256" w:hanging="161"/>
      </w:pPr>
      <w:rPr>
        <w:lang w:val="en-US" w:eastAsia="en-US" w:bidi="ar-SA"/>
      </w:rPr>
    </w:lvl>
    <w:lvl w:ilvl="4">
      <w:numFmt w:val="bullet"/>
      <w:lvlText w:val="•"/>
      <w:lvlJc w:val="left"/>
      <w:pPr>
        <w:ind w:left="1581" w:hanging="161"/>
      </w:pPr>
      <w:rPr>
        <w:lang w:val="en-US" w:eastAsia="en-US" w:bidi="ar-SA"/>
      </w:rPr>
    </w:lvl>
    <w:lvl w:ilvl="5">
      <w:numFmt w:val="bullet"/>
      <w:lvlText w:val="•"/>
      <w:lvlJc w:val="left"/>
      <w:pPr>
        <w:ind w:left="1907" w:hanging="161"/>
      </w:pPr>
      <w:rPr>
        <w:lang w:val="en-US" w:eastAsia="en-US" w:bidi="ar-SA"/>
      </w:rPr>
    </w:lvl>
    <w:lvl w:ilvl="6">
      <w:numFmt w:val="bullet"/>
      <w:lvlText w:val="•"/>
      <w:lvlJc w:val="left"/>
      <w:pPr>
        <w:ind w:left="2232" w:hanging="161"/>
      </w:pPr>
      <w:rPr>
        <w:lang w:val="en-US" w:eastAsia="en-US" w:bidi="ar-SA"/>
      </w:rPr>
    </w:lvl>
    <w:lvl w:ilvl="7">
      <w:numFmt w:val="bullet"/>
      <w:lvlText w:val="•"/>
      <w:lvlJc w:val="left"/>
      <w:pPr>
        <w:ind w:left="2557" w:hanging="161"/>
      </w:pPr>
      <w:rPr>
        <w:lang w:val="en-US" w:eastAsia="en-US" w:bidi="ar-SA"/>
      </w:rPr>
    </w:lvl>
    <w:lvl w:ilvl="8">
      <w:numFmt w:val="bullet"/>
      <w:lvlText w:val="•"/>
      <w:lvlJc w:val="left"/>
      <w:pPr>
        <w:ind w:left="2883" w:hanging="161"/>
      </w:pPr>
      <w:rPr>
        <w:lang w:val="en-US" w:eastAsia="en-US" w:bidi="ar-SA"/>
      </w:rPr>
    </w:lvl>
  </w:abstractNum>
  <w:abstractNum w:abstractNumId="1" w15:restartNumberingAfterBreak="0">
    <w:nsid w:val="74040656"/>
    <w:multiLevelType w:val="hybridMultilevel"/>
    <w:tmpl w:val="9D44E030"/>
    <w:lvl w:ilvl="0" w:tplc="5638055E">
      <w:numFmt w:val="bullet"/>
      <w:lvlText w:val="•"/>
      <w:lvlJc w:val="left"/>
      <w:pPr>
        <w:ind w:left="266" w:hanging="161"/>
      </w:pPr>
      <w:rPr>
        <w:rFonts w:ascii="Carlito" w:eastAsia="Carlito" w:hAnsi="Carlito" w:cs="Carlito" w:hint="default"/>
        <w:w w:val="100"/>
        <w:sz w:val="22"/>
        <w:szCs w:val="22"/>
        <w:lang w:val="en-US" w:eastAsia="en-US" w:bidi="ar-SA"/>
      </w:rPr>
    </w:lvl>
    <w:lvl w:ilvl="1" w:tplc="439E62E6">
      <w:numFmt w:val="bullet"/>
      <w:lvlText w:val="•"/>
      <w:lvlJc w:val="left"/>
      <w:pPr>
        <w:ind w:left="700" w:hanging="161"/>
      </w:pPr>
      <w:rPr>
        <w:rFonts w:hint="default"/>
        <w:lang w:val="en-US" w:eastAsia="en-US" w:bidi="ar-SA"/>
      </w:rPr>
    </w:lvl>
    <w:lvl w:ilvl="2" w:tplc="A4F03304">
      <w:numFmt w:val="bullet"/>
      <w:lvlText w:val="•"/>
      <w:lvlJc w:val="left"/>
      <w:pPr>
        <w:ind w:left="1141" w:hanging="161"/>
      </w:pPr>
      <w:rPr>
        <w:rFonts w:hint="default"/>
        <w:lang w:val="en-US" w:eastAsia="en-US" w:bidi="ar-SA"/>
      </w:rPr>
    </w:lvl>
    <w:lvl w:ilvl="3" w:tplc="9D28B748">
      <w:numFmt w:val="bullet"/>
      <w:lvlText w:val="•"/>
      <w:lvlJc w:val="left"/>
      <w:pPr>
        <w:ind w:left="1582" w:hanging="161"/>
      </w:pPr>
      <w:rPr>
        <w:rFonts w:hint="default"/>
        <w:lang w:val="en-US" w:eastAsia="en-US" w:bidi="ar-SA"/>
      </w:rPr>
    </w:lvl>
    <w:lvl w:ilvl="4" w:tplc="CC509760">
      <w:numFmt w:val="bullet"/>
      <w:lvlText w:val="•"/>
      <w:lvlJc w:val="left"/>
      <w:pPr>
        <w:ind w:left="2023" w:hanging="161"/>
      </w:pPr>
      <w:rPr>
        <w:rFonts w:hint="default"/>
        <w:lang w:val="en-US" w:eastAsia="en-US" w:bidi="ar-SA"/>
      </w:rPr>
    </w:lvl>
    <w:lvl w:ilvl="5" w:tplc="E9E202E8">
      <w:numFmt w:val="bullet"/>
      <w:lvlText w:val="•"/>
      <w:lvlJc w:val="left"/>
      <w:pPr>
        <w:ind w:left="2464" w:hanging="161"/>
      </w:pPr>
      <w:rPr>
        <w:rFonts w:hint="default"/>
        <w:lang w:val="en-US" w:eastAsia="en-US" w:bidi="ar-SA"/>
      </w:rPr>
    </w:lvl>
    <w:lvl w:ilvl="6" w:tplc="ECA64054">
      <w:numFmt w:val="bullet"/>
      <w:lvlText w:val="•"/>
      <w:lvlJc w:val="left"/>
      <w:pPr>
        <w:ind w:left="2905" w:hanging="161"/>
      </w:pPr>
      <w:rPr>
        <w:rFonts w:hint="default"/>
        <w:lang w:val="en-US" w:eastAsia="en-US" w:bidi="ar-SA"/>
      </w:rPr>
    </w:lvl>
    <w:lvl w:ilvl="7" w:tplc="34A62A9A">
      <w:numFmt w:val="bullet"/>
      <w:lvlText w:val="•"/>
      <w:lvlJc w:val="left"/>
      <w:pPr>
        <w:ind w:left="3346" w:hanging="161"/>
      </w:pPr>
      <w:rPr>
        <w:rFonts w:hint="default"/>
        <w:lang w:val="en-US" w:eastAsia="en-US" w:bidi="ar-SA"/>
      </w:rPr>
    </w:lvl>
    <w:lvl w:ilvl="8" w:tplc="DAF45C4A">
      <w:numFmt w:val="bullet"/>
      <w:lvlText w:val="•"/>
      <w:lvlJc w:val="left"/>
      <w:pPr>
        <w:ind w:left="3787" w:hanging="161"/>
      </w:pPr>
      <w:rPr>
        <w:rFonts w:hint="default"/>
        <w:lang w:val="en-US" w:eastAsia="en-US" w:bidi="ar-SA"/>
      </w:rPr>
    </w:lvl>
  </w:abstractNum>
  <w:abstractNum w:abstractNumId="2" w15:restartNumberingAfterBreak="0">
    <w:nsid w:val="7C9E02A5"/>
    <w:multiLevelType w:val="hybridMultilevel"/>
    <w:tmpl w:val="3FD8A604"/>
    <w:lvl w:ilvl="0" w:tplc="98A0B63E">
      <w:numFmt w:val="bullet"/>
      <w:lvlText w:val="•"/>
      <w:lvlJc w:val="left"/>
      <w:pPr>
        <w:ind w:left="106" w:hanging="161"/>
      </w:pPr>
      <w:rPr>
        <w:rFonts w:ascii="Carlito" w:eastAsia="Carlito" w:hAnsi="Carlito" w:cs="Carlito" w:hint="default"/>
        <w:w w:val="100"/>
        <w:sz w:val="22"/>
        <w:szCs w:val="22"/>
        <w:lang w:val="en-US" w:eastAsia="en-US" w:bidi="ar-SA"/>
      </w:rPr>
    </w:lvl>
    <w:lvl w:ilvl="1" w:tplc="F5324530">
      <w:numFmt w:val="bullet"/>
      <w:lvlText w:val="•"/>
      <w:lvlJc w:val="left"/>
      <w:pPr>
        <w:ind w:left="556" w:hanging="161"/>
      </w:pPr>
      <w:rPr>
        <w:rFonts w:hint="default"/>
        <w:lang w:val="en-US" w:eastAsia="en-US" w:bidi="ar-SA"/>
      </w:rPr>
    </w:lvl>
    <w:lvl w:ilvl="2" w:tplc="D8220D90">
      <w:numFmt w:val="bullet"/>
      <w:lvlText w:val="•"/>
      <w:lvlJc w:val="left"/>
      <w:pPr>
        <w:ind w:left="1013" w:hanging="161"/>
      </w:pPr>
      <w:rPr>
        <w:rFonts w:hint="default"/>
        <w:lang w:val="en-US" w:eastAsia="en-US" w:bidi="ar-SA"/>
      </w:rPr>
    </w:lvl>
    <w:lvl w:ilvl="3" w:tplc="CEEE3F16">
      <w:numFmt w:val="bullet"/>
      <w:lvlText w:val="•"/>
      <w:lvlJc w:val="left"/>
      <w:pPr>
        <w:ind w:left="1470" w:hanging="161"/>
      </w:pPr>
      <w:rPr>
        <w:rFonts w:hint="default"/>
        <w:lang w:val="en-US" w:eastAsia="en-US" w:bidi="ar-SA"/>
      </w:rPr>
    </w:lvl>
    <w:lvl w:ilvl="4" w:tplc="B73E7808">
      <w:numFmt w:val="bullet"/>
      <w:lvlText w:val="•"/>
      <w:lvlJc w:val="left"/>
      <w:pPr>
        <w:ind w:left="1927" w:hanging="161"/>
      </w:pPr>
      <w:rPr>
        <w:rFonts w:hint="default"/>
        <w:lang w:val="en-US" w:eastAsia="en-US" w:bidi="ar-SA"/>
      </w:rPr>
    </w:lvl>
    <w:lvl w:ilvl="5" w:tplc="38825544">
      <w:numFmt w:val="bullet"/>
      <w:lvlText w:val="•"/>
      <w:lvlJc w:val="left"/>
      <w:pPr>
        <w:ind w:left="2384" w:hanging="161"/>
      </w:pPr>
      <w:rPr>
        <w:rFonts w:hint="default"/>
        <w:lang w:val="en-US" w:eastAsia="en-US" w:bidi="ar-SA"/>
      </w:rPr>
    </w:lvl>
    <w:lvl w:ilvl="6" w:tplc="8F70612C">
      <w:numFmt w:val="bullet"/>
      <w:lvlText w:val="•"/>
      <w:lvlJc w:val="left"/>
      <w:pPr>
        <w:ind w:left="2841" w:hanging="161"/>
      </w:pPr>
      <w:rPr>
        <w:rFonts w:hint="default"/>
        <w:lang w:val="en-US" w:eastAsia="en-US" w:bidi="ar-SA"/>
      </w:rPr>
    </w:lvl>
    <w:lvl w:ilvl="7" w:tplc="4142F0EA">
      <w:numFmt w:val="bullet"/>
      <w:lvlText w:val="•"/>
      <w:lvlJc w:val="left"/>
      <w:pPr>
        <w:ind w:left="3298" w:hanging="161"/>
      </w:pPr>
      <w:rPr>
        <w:rFonts w:hint="default"/>
        <w:lang w:val="en-US" w:eastAsia="en-US" w:bidi="ar-SA"/>
      </w:rPr>
    </w:lvl>
    <w:lvl w:ilvl="8" w:tplc="D7C8BE58">
      <w:numFmt w:val="bullet"/>
      <w:lvlText w:val="•"/>
      <w:lvlJc w:val="left"/>
      <w:pPr>
        <w:ind w:left="3755" w:hanging="161"/>
      </w:pPr>
      <w:rPr>
        <w:rFonts w:hint="default"/>
        <w:lang w:val="en-US" w:eastAsia="en-US" w:bidi="ar-SA"/>
      </w:rPr>
    </w:lvl>
  </w:abstractNum>
  <w:num w:numId="1" w16cid:durableId="1046836856">
    <w:abstractNumId w:val="1"/>
  </w:num>
  <w:num w:numId="2" w16cid:durableId="205722974">
    <w:abstractNumId w:val="2"/>
  </w:num>
  <w:num w:numId="3" w16cid:durableId="1171291454">
    <w:abstractNumId w:val="0"/>
  </w:num>
  <w:num w:numId="4" w16cid:durableId="116779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4A"/>
    <w:rsid w:val="00033BE1"/>
    <w:rsid w:val="00046756"/>
    <w:rsid w:val="00062865"/>
    <w:rsid w:val="00103136"/>
    <w:rsid w:val="00162A4A"/>
    <w:rsid w:val="003777D2"/>
    <w:rsid w:val="00481168"/>
    <w:rsid w:val="004A77AA"/>
    <w:rsid w:val="00515869"/>
    <w:rsid w:val="006767C4"/>
    <w:rsid w:val="00741A9B"/>
    <w:rsid w:val="00771EAC"/>
    <w:rsid w:val="007B774F"/>
    <w:rsid w:val="007C27F6"/>
    <w:rsid w:val="00940A42"/>
    <w:rsid w:val="00994EAD"/>
    <w:rsid w:val="00A525FA"/>
    <w:rsid w:val="00B52378"/>
    <w:rsid w:val="00B6477A"/>
    <w:rsid w:val="00BE3A8C"/>
    <w:rsid w:val="00C7358F"/>
    <w:rsid w:val="00C95445"/>
    <w:rsid w:val="00CC52B8"/>
    <w:rsid w:val="00DC0F27"/>
    <w:rsid w:val="00EE3602"/>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8EE"/>
  <w15:docId w15:val="{6AB60426-541D-4A91-BEC3-DEC193C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next w:val="Normal"/>
    <w:link w:val="Heading1Char"/>
    <w:uiPriority w:val="9"/>
    <w:qFormat/>
    <w:rsid w:val="00940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E3602"/>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DC0F27"/>
    <w:rPr>
      <w:color w:val="0000FF" w:themeColor="hyperlink"/>
      <w:u w:val="single"/>
    </w:rPr>
  </w:style>
  <w:style w:type="paragraph" w:styleId="PlainText">
    <w:name w:val="Plain Text"/>
    <w:basedOn w:val="Normal"/>
    <w:link w:val="PlainTextChar"/>
    <w:uiPriority w:val="99"/>
    <w:semiHidden/>
    <w:unhideWhenUsed/>
    <w:rsid w:val="00DC0F27"/>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C0F27"/>
    <w:rPr>
      <w:rFonts w:ascii="Calibri" w:hAnsi="Calibri"/>
      <w:szCs w:val="21"/>
      <w:lang w:val="en-GB"/>
    </w:rPr>
  </w:style>
  <w:style w:type="character" w:styleId="CommentReference">
    <w:name w:val="annotation reference"/>
    <w:basedOn w:val="DefaultParagraphFont"/>
    <w:uiPriority w:val="99"/>
    <w:semiHidden/>
    <w:unhideWhenUsed/>
    <w:rsid w:val="006767C4"/>
    <w:rPr>
      <w:sz w:val="16"/>
      <w:szCs w:val="16"/>
    </w:rPr>
  </w:style>
  <w:style w:type="paragraph" w:styleId="CommentText">
    <w:name w:val="annotation text"/>
    <w:basedOn w:val="Normal"/>
    <w:link w:val="CommentTextChar"/>
    <w:uiPriority w:val="99"/>
    <w:unhideWhenUsed/>
    <w:rsid w:val="006767C4"/>
    <w:rPr>
      <w:sz w:val="20"/>
      <w:szCs w:val="20"/>
    </w:rPr>
  </w:style>
  <w:style w:type="character" w:customStyle="1" w:styleId="CommentTextChar">
    <w:name w:val="Comment Text Char"/>
    <w:basedOn w:val="DefaultParagraphFont"/>
    <w:link w:val="CommentText"/>
    <w:uiPriority w:val="99"/>
    <w:rsid w:val="006767C4"/>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767C4"/>
    <w:rPr>
      <w:b/>
      <w:bCs/>
    </w:rPr>
  </w:style>
  <w:style w:type="character" w:customStyle="1" w:styleId="CommentSubjectChar">
    <w:name w:val="Comment Subject Char"/>
    <w:basedOn w:val="CommentTextChar"/>
    <w:link w:val="CommentSubject"/>
    <w:uiPriority w:val="99"/>
    <w:semiHidden/>
    <w:rsid w:val="006767C4"/>
    <w:rPr>
      <w:rFonts w:ascii="Carlito" w:eastAsia="Carlito" w:hAnsi="Carlito" w:cs="Carlito"/>
      <w:b/>
      <w:bCs/>
      <w:sz w:val="20"/>
      <w:szCs w:val="20"/>
    </w:rPr>
  </w:style>
  <w:style w:type="paragraph" w:styleId="Revision">
    <w:name w:val="Revision"/>
    <w:hidden/>
    <w:uiPriority w:val="99"/>
    <w:semiHidden/>
    <w:rsid w:val="006767C4"/>
    <w:pPr>
      <w:widowControl/>
      <w:autoSpaceDE/>
      <w:autoSpaceDN/>
    </w:pPr>
    <w:rPr>
      <w:rFonts w:ascii="Carlito" w:eastAsia="Carlito" w:hAnsi="Carlito" w:cs="Carlito"/>
    </w:rPr>
  </w:style>
  <w:style w:type="character" w:styleId="UnresolvedMention">
    <w:name w:val="Unresolved Mention"/>
    <w:basedOn w:val="DefaultParagraphFont"/>
    <w:uiPriority w:val="99"/>
    <w:semiHidden/>
    <w:unhideWhenUsed/>
    <w:rsid w:val="00046756"/>
    <w:rPr>
      <w:color w:val="605E5C"/>
      <w:shd w:val="clear" w:color="auto" w:fill="E1DFDD"/>
    </w:rPr>
  </w:style>
  <w:style w:type="character" w:styleId="FollowedHyperlink">
    <w:name w:val="FollowedHyperlink"/>
    <w:basedOn w:val="DefaultParagraphFont"/>
    <w:uiPriority w:val="99"/>
    <w:semiHidden/>
    <w:unhideWhenUsed/>
    <w:rsid w:val="00062865"/>
    <w:rPr>
      <w:color w:val="800080" w:themeColor="followedHyperlink"/>
      <w:u w:val="single"/>
    </w:rPr>
  </w:style>
  <w:style w:type="paragraph" w:customStyle="1" w:styleId="Standard">
    <w:name w:val="Standard"/>
    <w:rsid w:val="00C7358F"/>
    <w:pPr>
      <w:widowControl/>
      <w:suppressAutoHyphens/>
      <w:autoSpaceDE/>
      <w:textAlignment w:val="baseline"/>
    </w:pPr>
    <w:rPr>
      <w:rFonts w:ascii="Calibri" w:eastAsia="Calibri" w:hAnsi="Calibri" w:cs="Calibri"/>
      <w:kern w:val="3"/>
    </w:rPr>
  </w:style>
  <w:style w:type="numbering" w:customStyle="1" w:styleId="WWNum2">
    <w:name w:val="WWNum2"/>
    <w:basedOn w:val="NoList"/>
    <w:rsid w:val="00C7358F"/>
    <w:pPr>
      <w:numPr>
        <w:numId w:val="3"/>
      </w:numPr>
    </w:pPr>
  </w:style>
  <w:style w:type="character" w:customStyle="1" w:styleId="Heading2Char">
    <w:name w:val="Heading 2 Char"/>
    <w:basedOn w:val="DefaultParagraphFont"/>
    <w:link w:val="Heading2"/>
    <w:uiPriority w:val="9"/>
    <w:rsid w:val="00EE3602"/>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940A4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77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8290">
      <w:bodyDiv w:val="1"/>
      <w:marLeft w:val="0"/>
      <w:marRight w:val="0"/>
      <w:marTop w:val="0"/>
      <w:marBottom w:val="0"/>
      <w:divBdr>
        <w:top w:val="none" w:sz="0" w:space="0" w:color="auto"/>
        <w:left w:val="none" w:sz="0" w:space="0" w:color="auto"/>
        <w:bottom w:val="none" w:sz="0" w:space="0" w:color="auto"/>
        <w:right w:val="none" w:sz="0" w:space="0" w:color="auto"/>
      </w:divBdr>
    </w:div>
    <w:div w:id="890307916">
      <w:bodyDiv w:val="1"/>
      <w:marLeft w:val="0"/>
      <w:marRight w:val="0"/>
      <w:marTop w:val="0"/>
      <w:marBottom w:val="0"/>
      <w:divBdr>
        <w:top w:val="none" w:sz="0" w:space="0" w:color="auto"/>
        <w:left w:val="none" w:sz="0" w:space="0" w:color="auto"/>
        <w:bottom w:val="none" w:sz="0" w:space="0" w:color="auto"/>
        <w:right w:val="none" w:sz="0" w:space="0" w:color="auto"/>
      </w:divBdr>
    </w:div>
    <w:div w:id="1805541317">
      <w:bodyDiv w:val="1"/>
      <w:marLeft w:val="0"/>
      <w:marRight w:val="0"/>
      <w:marTop w:val="0"/>
      <w:marBottom w:val="0"/>
      <w:divBdr>
        <w:top w:val="none" w:sz="0" w:space="0" w:color="auto"/>
        <w:left w:val="none" w:sz="0" w:space="0" w:color="auto"/>
        <w:bottom w:val="none" w:sz="0" w:space="0" w:color="auto"/>
        <w:right w:val="none" w:sz="0" w:space="0" w:color="auto"/>
      </w:divBdr>
    </w:div>
    <w:div w:id="205573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ganisation.nhswebsite.nhs.uk/" TargetMode="External"/><Relationship Id="rId13" Type="http://schemas.openxmlformats.org/officeDocument/2006/relationships/hyperlink" Target="https://organisation.nhswebsite.nhs.uk/" TargetMode="External"/><Relationship Id="rId18" Type="http://schemas.openxmlformats.org/officeDocument/2006/relationships/hyperlink" Target="https://www.nhsbsa.nhs.uk/pharmacy-quality-scheme-pqs-launch-year-5-scheme-2023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employers.org/events/calendar-national-campaigns" TargetMode="External"/><Relationship Id="rId7" Type="http://schemas.openxmlformats.org/officeDocument/2006/relationships/hyperlink" Target="https://organisation.nhswebsite.nhs.uk/" TargetMode="External"/><Relationship Id="rId12" Type="http://schemas.openxmlformats.org/officeDocument/2006/relationships/hyperlink" Target="https://organisation.nhswebsite.nhs.uk/" TargetMode="External"/><Relationship Id="rId17" Type="http://schemas.openxmlformats.org/officeDocument/2006/relationships/hyperlink" Target="https://www.nhsbsa.nhs.uk/pharmacy-quality-scheme-pqs-launch-year-5-scheme-202324" TargetMode="External"/><Relationship Id="rId25" Type="http://schemas.openxmlformats.org/officeDocument/2006/relationships/hyperlink" Target="mailto:servicedevelopmentlead@leicslpc.co.uk" TargetMode="External"/><Relationship Id="rId2" Type="http://schemas.openxmlformats.org/officeDocument/2006/relationships/styles" Target="styles.xml"/><Relationship Id="rId16" Type="http://schemas.openxmlformats.org/officeDocument/2006/relationships/hyperlink" Target="https://psnc.org.uk/wp-content/uploads/2023/04/PSNC-Briefing-007.23-DHSCs-changes-to-the-Pharmaceutical-Regulations.pdf" TargetMode="External"/><Relationship Id="rId20" Type="http://schemas.openxmlformats.org/officeDocument/2006/relationships/hyperlink" Target="https://psnc.org.uk/dispensing-supply/payment-accuracy/monthly-payments/payment-timetable-and-deadline-tracker/" TargetMode="External"/><Relationship Id="rId1" Type="http://schemas.openxmlformats.org/officeDocument/2006/relationships/numbering" Target="numbering.xml"/><Relationship Id="rId6" Type="http://schemas.openxmlformats.org/officeDocument/2006/relationships/hyperlink" Target="https://organisation.nhswebsite.nhs.uk/" TargetMode="External"/><Relationship Id="rId11" Type="http://schemas.openxmlformats.org/officeDocument/2006/relationships/hyperlink" Target="https://organisation.nhswebsite.nhs.uk/" TargetMode="External"/><Relationship Id="rId24" Type="http://schemas.openxmlformats.org/officeDocument/2006/relationships/hyperlink" Target="mailto:service.support@leics-lpc.co.uk" TargetMode="External"/><Relationship Id="rId5" Type="http://schemas.openxmlformats.org/officeDocument/2006/relationships/image" Target="media/image1.jpeg"/><Relationship Id="rId15" Type="http://schemas.openxmlformats.org/officeDocument/2006/relationships/hyperlink" Target="https://psnc.org.uk/psnc-and-negotiations/updates-events/our-webinars/data-security-and-protection-ig-toolkit-workshop/" TargetMode="External"/><Relationship Id="rId23" Type="http://schemas.openxmlformats.org/officeDocument/2006/relationships/hyperlink" Target="mailto:service.support@leics-lpc.co.uk" TargetMode="External"/><Relationship Id="rId10" Type="http://schemas.openxmlformats.org/officeDocument/2006/relationships/hyperlink" Target="https://organisation.nhswebsite.nhs.uk/" TargetMode="External"/><Relationship Id="rId19" Type="http://schemas.openxmlformats.org/officeDocument/2006/relationships/hyperlink" Target="https://cpe.org.uk/our-news/action-required-cpcs-claim-period-change-from-1st-june/" TargetMode="External"/><Relationship Id="rId4" Type="http://schemas.openxmlformats.org/officeDocument/2006/relationships/webSettings" Target="webSettings.xml"/><Relationship Id="rId9" Type="http://schemas.openxmlformats.org/officeDocument/2006/relationships/hyperlink" Target="https://organisation.nhswebsite.nhs.uk/" TargetMode="External"/><Relationship Id="rId14" Type="http://schemas.openxmlformats.org/officeDocument/2006/relationships/hyperlink" Target="https://www.dsptoolkit.nhs.uk/" TargetMode="External"/><Relationship Id="rId22" Type="http://schemas.openxmlformats.org/officeDocument/2006/relationships/hyperlink" Target="mailto:admin@leics-lpc.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Shelton</dc:creator>
  <cp:lastModifiedBy>LLR LPC Administrator</cp:lastModifiedBy>
  <cp:revision>2</cp:revision>
  <cp:lastPrinted>2023-01-27T12:10:00Z</cp:lastPrinted>
  <dcterms:created xsi:type="dcterms:W3CDTF">2023-05-31T10:44:00Z</dcterms:created>
  <dcterms:modified xsi:type="dcterms:W3CDTF">2023-05-31T10:44:00Z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for Microsoft 365</vt:lpwstr>
  </property>
  <property fmtid="{D5CDD505-2E9C-101B-9397-08002B2CF9AE}" pid="4" name="LastSaved">
    <vt:filetime>2023-01-27T00:00:00Z</vt:filetime>
  </property>
</Properties>
</file>