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91D9" w14:textId="77777777" w:rsidR="00162A4A" w:rsidRDefault="00162A4A">
      <w:pPr>
        <w:pStyle w:val="BodyText"/>
        <w:rPr>
          <w:rFonts w:ascii="Times New Roman"/>
        </w:rPr>
      </w:pPr>
    </w:p>
    <w:p w14:paraId="13011BEF" w14:textId="77777777" w:rsidR="00162A4A" w:rsidRPr="009D4E69" w:rsidRDefault="00722586">
      <w:pPr>
        <w:pStyle w:val="BodyText"/>
        <w:spacing w:before="56"/>
        <w:ind w:left="200"/>
        <w:rPr>
          <w:i/>
          <w:iCs/>
        </w:rPr>
      </w:pPr>
      <w:r w:rsidRPr="009D4E69">
        <w:rPr>
          <w:i/>
          <w:iCs/>
        </w:rPr>
        <w:t>If you are part of a pharmacy group or multiple, please liaise with your company managers/head office as necessary.</w:t>
      </w:r>
    </w:p>
    <w:p w14:paraId="2C995B18" w14:textId="77777777" w:rsidR="00162A4A" w:rsidRDefault="00162A4A">
      <w:pPr>
        <w:pStyle w:val="BodyText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559"/>
        <w:gridCol w:w="3544"/>
        <w:gridCol w:w="1764"/>
      </w:tblGrid>
      <w:tr w:rsidR="00C7358F" w14:paraId="2225A6AC" w14:textId="77777777" w:rsidTr="00AD1DE7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792FD098" w14:textId="77777777" w:rsidR="00C7358F" w:rsidRPr="00C7358F" w:rsidRDefault="00C7358F" w:rsidP="00C7358F">
            <w:pPr>
              <w:pStyle w:val="TableParagraph"/>
              <w:spacing w:before="133"/>
              <w:ind w:left="388"/>
              <w:rPr>
                <w:b/>
                <w:color w:val="FFFFFF"/>
              </w:rPr>
            </w:pPr>
            <w:r w:rsidRPr="00C7358F">
              <w:rPr>
                <w:b/>
                <w:color w:val="FFFFFF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3A625313" w14:textId="77777777" w:rsidR="00C7358F" w:rsidRPr="00C7358F" w:rsidRDefault="00C7358F" w:rsidP="00C7358F">
            <w:pPr>
              <w:pStyle w:val="TableParagraph"/>
              <w:spacing w:before="147"/>
              <w:ind w:left="155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6919E37B" w14:textId="77777777" w:rsidR="00C7358F" w:rsidRPr="00C7358F" w:rsidRDefault="00C7358F" w:rsidP="00C7358F">
            <w:pPr>
              <w:pStyle w:val="TableParagraph"/>
              <w:spacing w:before="147"/>
              <w:ind w:left="217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DEADLINE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2138CEE3" w14:textId="77777777" w:rsidR="00C7358F" w:rsidRPr="00C7358F" w:rsidRDefault="00C7358F" w:rsidP="00AD1DE7">
            <w:pPr>
              <w:pStyle w:val="TableParagraph"/>
              <w:spacing w:before="13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  <w:r w:rsidRPr="00C7358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C7358F">
              <w:rPr>
                <w:b/>
                <w:color w:val="FFFFFF"/>
              </w:rPr>
              <w:t xml:space="preserve"> LINKS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1B658ED8" w14:textId="77777777" w:rsidR="00C7358F" w:rsidRPr="00C7358F" w:rsidRDefault="00C7358F" w:rsidP="00C7358F">
            <w:pPr>
              <w:pStyle w:val="TableParagraph"/>
              <w:spacing w:line="268" w:lineRule="exact"/>
              <w:ind w:left="1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TICK WHEN </w:t>
            </w:r>
            <w:r w:rsidRPr="00C7358F">
              <w:rPr>
                <w:b/>
                <w:color w:val="FFFFFF"/>
              </w:rPr>
              <w:t>COMPLETED</w:t>
            </w:r>
          </w:p>
        </w:tc>
      </w:tr>
      <w:tr w:rsidR="00C7358F" w14:paraId="0CFBECB2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B4F1" w14:textId="77777777" w:rsid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Bank Holidays Rota Claims  </w:t>
            </w:r>
          </w:p>
          <w:p w14:paraId="4702B134" w14:textId="3BE26779" w:rsidR="002A61FF" w:rsidRPr="002A61FF" w:rsidRDefault="002A61F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4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03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25F" w14:textId="77777777" w:rsidR="00AD1DE7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If you were/are directed to open over the Bank Holiday</w:t>
            </w:r>
            <w:r w:rsidR="00AD1DE7">
              <w:rPr>
                <w:color w:val="000000" w:themeColor="text1"/>
              </w:rPr>
              <w:t xml:space="preserve"> period</w:t>
            </w:r>
            <w:r w:rsidRPr="00C7358F">
              <w:rPr>
                <w:color w:val="000000" w:themeColor="text1"/>
              </w:rPr>
              <w:t xml:space="preserve">, please remember to claim your payment 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  <w:r w:rsidRPr="00C7358F">
              <w:rPr>
                <w:color w:val="000000" w:themeColor="text1"/>
              </w:rPr>
              <w:t xml:space="preserve">. </w:t>
            </w:r>
          </w:p>
          <w:p w14:paraId="6ADC77FA" w14:textId="00BAFA1C" w:rsidR="00C7358F" w:rsidRPr="00AD1DE7" w:rsidRDefault="00C7358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 w:rsidRPr="00AD1DE7">
              <w:rPr>
                <w:b/>
                <w:bCs/>
                <w:color w:val="000000" w:themeColor="text1"/>
              </w:rPr>
              <w:t>Please note:</w:t>
            </w:r>
          </w:p>
          <w:p w14:paraId="6E2C800F" w14:textId="44019883" w:rsidR="00C7358F" w:rsidRPr="00C7358F" w:rsidRDefault="00C7358F" w:rsidP="007C27F6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Rota claims should now be made by completing the new ‘Directed Rota Claim Form’ on PharmOutcomes.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5B0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60D17" w:rsidRPr="00C7358F" w14:paraId="45ED3BA3" w14:textId="77777777" w:rsidTr="00A1041D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071B" w14:textId="77777777" w:rsidR="00960D17" w:rsidRPr="00C7358F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Hypertension Case Finding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50E1" w14:textId="77777777" w:rsidR="00960D17" w:rsidRPr="00C7358F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98CF" w14:textId="77777777" w:rsidR="00960D17" w:rsidRPr="002A61FF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60D1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September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2B91" w14:textId="69FF533D" w:rsidR="00960D17" w:rsidRPr="00960D17" w:rsidRDefault="00960D17" w:rsidP="00A1041D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>
              <w:t xml:space="preserve">Pharmacies must have a </w:t>
            </w:r>
            <w:hyperlink r:id="rId7" w:history="1">
              <w:proofErr w:type="spellStart"/>
              <w:r w:rsidRPr="00960D17">
                <w:rPr>
                  <w:rStyle w:val="Hyperlink"/>
                </w:rPr>
                <w:t>recognised</w:t>
              </w:r>
              <w:proofErr w:type="spellEnd"/>
              <w:r w:rsidRPr="00960D17">
                <w:rPr>
                  <w:rStyle w:val="Hyperlink"/>
                </w:rPr>
                <w:t xml:space="preserve"> IT provider in place to record consultations</w:t>
              </w:r>
            </w:hyperlink>
            <w:r>
              <w:t xml:space="preserve"> and make payment claims by 1st September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48F1" w14:textId="77777777" w:rsidR="00960D17" w:rsidRPr="00C7358F" w:rsidRDefault="00960D17" w:rsidP="00A1041D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60D17" w:rsidRPr="00C7358F" w14:paraId="3F5CD9A8" w14:textId="77777777" w:rsidTr="00A1041D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7CF5" w14:textId="23E20C27" w:rsidR="00960D17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Quality Scheme (PQS)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94AC" w14:textId="19F718C5" w:rsidR="00960D17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A3C" w14:textId="56C5A690" w:rsidR="00960D17" w:rsidRDefault="00960D17" w:rsidP="00A1041D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960D1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September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1475" w14:textId="534914A3" w:rsidR="00960D17" w:rsidRDefault="00960D17" w:rsidP="00A1041D">
            <w:pPr>
              <w:pStyle w:val="TableParagraph"/>
              <w:ind w:left="107" w:right="239"/>
            </w:pPr>
            <w:r>
              <w:t>Aspiration claim window will open on MYS on Monday 4th September to 29th September.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C5AA" w14:textId="77777777" w:rsidR="00960D17" w:rsidRPr="00C7358F" w:rsidRDefault="00960D17" w:rsidP="00A1041D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268E5" w14:paraId="20901A9F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28F2" w14:textId="77777777" w:rsidR="009268E5" w:rsidRDefault="009268E5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Annual General Meeting </w:t>
            </w:r>
          </w:p>
          <w:p w14:paraId="5DBCED88" w14:textId="59649126" w:rsidR="009268E5" w:rsidRPr="00C7358F" w:rsidRDefault="009268E5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268E5">
              <w:rPr>
                <w:color w:val="000000" w:themeColor="text1"/>
              </w:rPr>
              <w:t>Community Pharmacy Leicestershire and Rutland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63FB" w14:textId="69BCE7D9" w:rsidR="009268E5" w:rsidRPr="00C7358F" w:rsidRDefault="009268E5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and Feedback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6B66" w14:textId="336B147B" w:rsidR="009268E5" w:rsidRPr="00C7358F" w:rsidRDefault="009268E5" w:rsidP="009268E5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 by 28</w:t>
            </w:r>
            <w:r w:rsidRPr="009268E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E625" w14:textId="77777777" w:rsidR="009268E5" w:rsidRDefault="009268E5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to attend is now open. </w:t>
            </w:r>
          </w:p>
          <w:p w14:paraId="55461261" w14:textId="40FC131F" w:rsidR="009268E5" w:rsidRPr="00C7358F" w:rsidRDefault="009268E5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book your free place please click </w:t>
            </w:r>
            <w:hyperlink r:id="rId8" w:history="1">
              <w:r w:rsidRPr="009268E5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E369" w14:textId="77777777" w:rsidR="009268E5" w:rsidRPr="00C7358F" w:rsidRDefault="009268E5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1629F" w14:paraId="4D7A5933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1225" w14:textId="77777777" w:rsidR="009268E5" w:rsidRDefault="009268E5" w:rsidP="009268E5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Annual General Meeting </w:t>
            </w:r>
          </w:p>
          <w:p w14:paraId="7F55E089" w14:textId="2FE9EE15" w:rsidR="00F1629F" w:rsidRPr="002674BB" w:rsidRDefault="009268E5" w:rsidP="009268E5">
            <w:pPr>
              <w:pStyle w:val="TableParagraph"/>
              <w:ind w:left="107" w:right="239"/>
              <w:rPr>
                <w:color w:val="000000" w:themeColor="text1"/>
                <w:highlight w:val="yellow"/>
              </w:rPr>
            </w:pPr>
            <w:r w:rsidRPr="009268E5">
              <w:rPr>
                <w:color w:val="000000" w:themeColor="text1"/>
              </w:rPr>
              <w:t>Community Pharmacy Leicestershire and Rutland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DF48" w14:textId="19155BC6" w:rsidR="00F1629F" w:rsidRPr="009268E5" w:rsidRDefault="00F1629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268E5">
              <w:rPr>
                <w:color w:val="000000" w:themeColor="text1"/>
              </w:rPr>
              <w:t>Information and feedback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3594" w14:textId="77777777" w:rsidR="00F1629F" w:rsidRDefault="00F1629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268E5">
              <w:rPr>
                <w:color w:val="000000" w:themeColor="text1"/>
              </w:rPr>
              <w:t xml:space="preserve">ACT NOW </w:t>
            </w:r>
          </w:p>
          <w:p w14:paraId="6FE99C34" w14:textId="4FD1E4FE" w:rsidR="009268E5" w:rsidRPr="002674BB" w:rsidRDefault="009268E5" w:rsidP="00C7358F">
            <w:pPr>
              <w:pStyle w:val="TableParagraph"/>
              <w:ind w:left="107" w:right="239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By 12pm 28</w:t>
            </w:r>
            <w:r w:rsidRPr="009268E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68EE" w14:textId="3794377D" w:rsidR="009268E5" w:rsidRPr="009268E5" w:rsidRDefault="009268E5" w:rsidP="00C7358F">
            <w:pPr>
              <w:pStyle w:val="TableParagraph"/>
              <w:ind w:left="107" w:right="239"/>
            </w:pPr>
            <w:r w:rsidRPr="009268E5">
              <w:rPr>
                <w:rStyle w:val="Hyperlink"/>
                <w:color w:val="auto"/>
                <w:u w:val="none"/>
              </w:rPr>
              <w:t xml:space="preserve">Accounts and voting forms have been sent via email (CCA organizations require no action). Non CCA organizations please return voting forms via email/ post or attend. </w:t>
            </w:r>
            <w:r>
              <w:rPr>
                <w:rStyle w:val="Hyperlink"/>
                <w:color w:val="auto"/>
                <w:u w:val="none"/>
              </w:rPr>
              <w:t>To access</w:t>
            </w:r>
            <w:hyperlink r:id="rId9" w:history="1">
              <w:r w:rsidRPr="009268E5">
                <w:rPr>
                  <w:rStyle w:val="Hyperlink"/>
                </w:rPr>
                <w:t xml:space="preserve"> info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5DFC" w14:textId="77777777" w:rsidR="00F1629F" w:rsidRPr="002674BB" w:rsidRDefault="00F1629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  <w:highlight w:val="yellow"/>
              </w:rPr>
            </w:pPr>
          </w:p>
        </w:tc>
      </w:tr>
      <w:tr w:rsidR="00FD6A52" w14:paraId="7E69AC3E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ABB" w14:textId="219FFA57" w:rsidR="00FD6A52" w:rsidRPr="008A1251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DoS P</w:t>
            </w:r>
            <w:r w:rsidR="002A61FF">
              <w:rPr>
                <w:color w:val="000000" w:themeColor="text1"/>
              </w:rPr>
              <w:t xml:space="preserve">harmacy Hours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944" w14:textId="75B0272D" w:rsidR="00FD6A52" w:rsidRPr="00D70A8A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DAC" w14:textId="3201C65D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</w:t>
            </w:r>
            <w:r w:rsidRPr="002A61FF">
              <w:rPr>
                <w:color w:val="000000" w:themeColor="text1"/>
                <w:vertAlign w:val="superscript"/>
              </w:rPr>
              <w:t>st</w:t>
            </w:r>
            <w:r w:rsidRPr="002A61FF">
              <w:rPr>
                <w:color w:val="000000" w:themeColor="text1"/>
              </w:rPr>
              <w:t xml:space="preserve"> July – 30</w:t>
            </w:r>
            <w:r w:rsidRPr="002A61FF">
              <w:rPr>
                <w:color w:val="000000" w:themeColor="text1"/>
                <w:vertAlign w:val="superscript"/>
              </w:rPr>
              <w:t>th</w:t>
            </w:r>
            <w:r w:rsidRPr="002A61FF">
              <w:rPr>
                <w:color w:val="000000" w:themeColor="text1"/>
              </w:rPr>
              <w:t xml:space="preserve"> September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08FF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Pharmacies must ensure there is a comprehensive and accurate profile for their pharmacy in</w:t>
            </w:r>
          </w:p>
          <w:p w14:paraId="05C1EDB1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 xml:space="preserve">the </w:t>
            </w:r>
            <w:hyperlink r:id="rId10" w:history="1">
              <w:r w:rsidRPr="002A61FF">
                <w:t>Directory of Services (DoS). Information</w:t>
              </w:r>
            </w:hyperlink>
            <w:hyperlink r:id="rId11" w:history="1">
              <w:r w:rsidRPr="002A61FF">
                <w:t xml:space="preserve"> </w:t>
              </w:r>
            </w:hyperlink>
            <w:hyperlink r:id="rId12" w:history="1">
              <w:r w:rsidRPr="002A61FF">
                <w:t>contained</w:t>
              </w:r>
            </w:hyperlink>
            <w:hyperlink r:id="rId13" w:history="1">
              <w:r w:rsidRPr="002A61FF">
                <w:t xml:space="preserve"> </w:t>
              </w:r>
            </w:hyperlink>
            <w:hyperlink r:id="rId14" w:history="1">
              <w:r w:rsidRPr="002A61FF">
                <w:t>in</w:t>
              </w:r>
            </w:hyperlink>
            <w:hyperlink r:id="rId15" w:history="1">
              <w:r w:rsidRPr="002A61FF">
                <w:t xml:space="preserve"> </w:t>
              </w:r>
            </w:hyperlink>
            <w:hyperlink r:id="rId16" w:history="1">
              <w:r w:rsidRPr="002A61FF">
                <w:t>DoS</w:t>
              </w:r>
            </w:hyperlink>
            <w:hyperlink r:id="rId17" w:history="1">
              <w:r w:rsidRPr="002A61FF">
                <w:t xml:space="preserve"> </w:t>
              </w:r>
            </w:hyperlink>
            <w:r w:rsidRPr="002A61FF">
              <w:rPr>
                <w:color w:val="000000" w:themeColor="text1"/>
              </w:rPr>
              <w:t>at least once each quarter of</w:t>
            </w:r>
          </w:p>
          <w:p w14:paraId="7BC8449D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the financial year. The financial quarters are:</w:t>
            </w:r>
          </w:p>
          <w:p w14:paraId="4CFD266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April to 30th June</w:t>
            </w:r>
          </w:p>
          <w:p w14:paraId="26B748DD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5" w:lineRule="exact"/>
              <w:ind w:left="107" w:right="239"/>
              <w:textAlignment w:val="baseline"/>
              <w:rPr>
                <w:b/>
                <w:bCs/>
                <w:color w:val="000000" w:themeColor="text1"/>
              </w:rPr>
            </w:pPr>
            <w:r w:rsidRPr="002A61FF">
              <w:rPr>
                <w:b/>
                <w:bCs/>
                <w:color w:val="000000" w:themeColor="text1"/>
              </w:rPr>
              <w:t>1st July to 30th September</w:t>
            </w:r>
          </w:p>
          <w:p w14:paraId="6072FB0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October to 31st December</w:t>
            </w:r>
          </w:p>
          <w:p w14:paraId="6DF09C66" w14:textId="36155D50" w:rsidR="00FD6A52" w:rsidRPr="002A61FF" w:rsidRDefault="00FD6A52" w:rsidP="00FD6A52">
            <w:pPr>
              <w:pStyle w:val="TableParagraph"/>
              <w:widowControl/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A61FF">
              <w:rPr>
                <w:color w:val="000000" w:themeColor="text1"/>
              </w:rPr>
              <w:t>1st January to 31st March.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E8BE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60D17" w14:paraId="1C1BE191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1BD0" w14:textId="715DECA0" w:rsidR="00960D17" w:rsidRPr="00C7358F" w:rsidRDefault="00960D17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Hypertension Case Finding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E2B6" w14:textId="428B3CF6" w:rsidR="00960D17" w:rsidRPr="00C7358F" w:rsidRDefault="00960D17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4C8A" w14:textId="6A203DB6" w:rsidR="00960D17" w:rsidRPr="002A61FF" w:rsidRDefault="00960D17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60D1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September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1DAE" w14:textId="3166AC3F" w:rsidR="00960D17" w:rsidRPr="00960D17" w:rsidRDefault="00960D17" w:rsidP="00FD6A52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>
              <w:t xml:space="preserve">Pharmacies must have a </w:t>
            </w:r>
            <w:proofErr w:type="spellStart"/>
            <w:r>
              <w:t>recognised</w:t>
            </w:r>
            <w:proofErr w:type="spellEnd"/>
            <w:r>
              <w:t xml:space="preserve"> IT provider in place to record consultations and make payment claims by 1st September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63FF" w14:textId="77777777" w:rsidR="00960D17" w:rsidRPr="00C7358F" w:rsidRDefault="00960D17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61606998" w14:textId="77777777" w:rsidTr="00F1629F">
        <w:trPr>
          <w:trHeight w:val="41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8AE7" w14:textId="280CCDE0" w:rsidR="002A61FF" w:rsidRDefault="002A61FF" w:rsidP="00FD6A52">
            <w:pPr>
              <w:pStyle w:val="TableParagraph"/>
              <w:ind w:left="107" w:right="239"/>
            </w:pPr>
            <w:r>
              <w:lastRenderedPageBreak/>
              <w:t xml:space="preserve">Get Flu ready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8BD2" w14:textId="0EC4909B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D134" w14:textId="15EE9F9A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Ongoing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087" w14:textId="274D8AC8" w:rsidR="002A61FF" w:rsidRDefault="00960D17" w:rsidP="00FD6A52">
            <w:pPr>
              <w:pStyle w:val="TableParagraph"/>
              <w:ind w:left="107" w:right="239"/>
            </w:pPr>
            <w:r>
              <w:t>If providing to patients who have already booked in before the official launch on 7th October, please remember to keep evidence of prior booking in case needed for Post Payment Verification.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86A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2A9557B4" w14:textId="77777777" w:rsidTr="00FD6A52">
        <w:trPr>
          <w:trHeight w:val="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F823" w14:textId="6123E91A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40A4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ommunity Pharmacist Consultation Service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0A31" w14:textId="19453A4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DE0" w14:textId="727D0ADE" w:rsidR="00FD6A52" w:rsidRPr="00940A42" w:rsidRDefault="00FD6A52" w:rsidP="00FD6A52">
            <w:pPr>
              <w:pStyle w:val="Heading1"/>
              <w:spacing w:before="0" w:after="16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D6A5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day of the following month  </w:t>
            </w:r>
          </w:p>
          <w:p w14:paraId="4146CB79" w14:textId="77777777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BA58" w14:textId="21861151" w:rsidR="00FD6A52" w:rsidRPr="00FD6A52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FD6A52">
              <w:rPr>
                <w:rFonts w:asciiTheme="minorHAnsi" w:hAnsiTheme="minorHAnsi" w:cstheme="minorHAnsi"/>
              </w:rPr>
              <w:t>Claims for payments for this service will automatically be added to MYS using the Application Programme Interface (API) between the CPCS IT system and the NHSBSA.)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6A52">
              <w:rPr>
                <w:rFonts w:asciiTheme="minorHAnsi" w:hAnsiTheme="minorHAnsi" w:cstheme="minorHAnsi"/>
              </w:rPr>
              <w:t xml:space="preserve">Find out more on the </w:t>
            </w:r>
            <w:hyperlink r:id="rId18" w:history="1">
              <w:r w:rsidRPr="00FD6A52">
                <w:rPr>
                  <w:rStyle w:val="Hyperlink"/>
                  <w:rFonts w:asciiTheme="minorHAnsi" w:hAnsiTheme="minorHAnsi" w:cstheme="minorHAnsi"/>
                  <w:color w:val="auto"/>
                </w:rPr>
                <w:t>PSNC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B69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128D3B47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1C8" w14:textId="2D55BE3E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Top tips to claim for and reconcile SSP payments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0" w14:textId="719E88C5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FDB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24B" w14:textId="597DA2CF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PSNC understands that a large number SSP claims continue to be deemed invalid by the NHSBSA due </w:t>
            </w:r>
            <w:r>
              <w:rPr>
                <w:color w:val="000000" w:themeColor="text1"/>
              </w:rPr>
              <w:t xml:space="preserve">to </w:t>
            </w:r>
            <w:r w:rsidRPr="00C7358F">
              <w:rPr>
                <w:color w:val="000000" w:themeColor="text1"/>
              </w:rPr>
              <w:t xml:space="preserve">incorrect endorsements applied by PMR systems and/or pharmacy staff. </w:t>
            </w:r>
            <w:r>
              <w:rPr>
                <w:color w:val="000000" w:themeColor="text1"/>
              </w:rPr>
              <w:t xml:space="preserve">For support visit </w:t>
            </w:r>
            <w:hyperlink r:id="rId19" w:history="1">
              <w:r w:rsidRPr="00AD1DE7">
                <w:rPr>
                  <w:rStyle w:val="Hyperlink"/>
                </w:rPr>
                <w:t>CPE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7A01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1629F" w14:paraId="478F967F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869D" w14:textId="77777777" w:rsidR="00F1629F" w:rsidRPr="00F1629F" w:rsidRDefault="00F1629F" w:rsidP="00F1629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F1629F">
              <w:rPr>
                <w:color w:val="000000" w:themeColor="text1"/>
              </w:rPr>
              <w:t>Pharmacy Owner September Engagement Event</w:t>
            </w:r>
          </w:p>
          <w:p w14:paraId="7C71CD23" w14:textId="77777777" w:rsidR="00F1629F" w:rsidRPr="00C7358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2C0" w14:textId="74D36414" w:rsidR="00F1629F" w:rsidRPr="00C7358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and feedback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2D1E" w14:textId="1A842F8E" w:rsidR="00F1629F" w:rsidRPr="00C7358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A8AC" w14:textId="08A5569C" w:rsidR="00F1629F" w:rsidRPr="00C7358F" w:rsidRDefault="0000000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hyperlink r:id="rId20" w:history="1">
              <w:r w:rsidR="00F1629F">
                <w:rPr>
                  <w:rStyle w:val="Hyperlink"/>
                </w:rPr>
                <w:t>You're Invited: Pharmacy Owner September Engagement Event - Community Pharmacy England (cpe.org.uk)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A0FA" w14:textId="77777777" w:rsidR="00F1629F" w:rsidRPr="00C7358F" w:rsidRDefault="00F1629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1629F" w14:paraId="085F595B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CFB7" w14:textId="77777777" w:rsidR="00F1629F" w:rsidRPr="00F1629F" w:rsidRDefault="00F1629F" w:rsidP="00F1629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F1629F">
              <w:rPr>
                <w:color w:val="000000" w:themeColor="text1"/>
              </w:rPr>
              <w:t>Book now for our Price Concessions Webinar</w:t>
            </w:r>
          </w:p>
          <w:p w14:paraId="014063D9" w14:textId="77777777" w:rsidR="00F1629F" w:rsidRPr="00F1629F" w:rsidRDefault="00F1629F" w:rsidP="00F1629F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227F" w14:textId="36FCC7A7" w:rsidR="00F1629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and Feedback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317D" w14:textId="3F1BF753" w:rsidR="00F1629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5519" w14:textId="257F76F4" w:rsidR="00F1629F" w:rsidRDefault="00000000" w:rsidP="00FD6A52">
            <w:pPr>
              <w:pStyle w:val="TableParagraph"/>
              <w:ind w:left="107" w:right="239"/>
            </w:pPr>
            <w:hyperlink r:id="rId21" w:history="1">
              <w:r w:rsidR="00F1629F">
                <w:rPr>
                  <w:rStyle w:val="Hyperlink"/>
                </w:rPr>
                <w:t>Book now for our Price Concessions Webinar - Community Pharmacy England (cpe.org.uk)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899E" w14:textId="77777777" w:rsidR="00F1629F" w:rsidRPr="00C7358F" w:rsidRDefault="00F1629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8E7C10" w14:paraId="25B5487B" w14:textId="77777777" w:rsidTr="002674BB">
        <w:trPr>
          <w:trHeight w:val="103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5338" w14:textId="1F8382D3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Community Pharmacy Open House Surgery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CF1" w14:textId="33CA5820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and Feedback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5BF9" w14:textId="3CFB5282" w:rsidR="008E7C10" w:rsidRPr="00C7358F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2674BB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September</w:t>
            </w:r>
            <w:r w:rsidR="008E7C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="008E7C10">
              <w:rPr>
                <w:color w:val="000000" w:themeColor="text1"/>
              </w:rPr>
              <w:t xml:space="preserve">pm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31CE" w14:textId="72A47379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find more information click </w:t>
            </w:r>
            <w:hyperlink r:id="rId22" w:history="1">
              <w:r w:rsidRPr="008E7C10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7736" w14:textId="77777777" w:rsidR="008E7C10" w:rsidRPr="00C7358F" w:rsidRDefault="008E7C10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4D303E3A" w14:textId="77777777" w:rsidTr="002674BB">
        <w:trPr>
          <w:trHeight w:val="367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42B0" w14:textId="2CA75D1C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Media – Join </w:t>
            </w:r>
            <w:r w:rsidR="00E3027A">
              <w:rPr>
                <w:color w:val="000000" w:themeColor="text1"/>
              </w:rPr>
              <w:t>us!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1A01" w14:textId="738AECE0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5775" w14:textId="4A27584E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289C" w14:textId="77777777" w:rsidR="00E3027A" w:rsidRDefault="00E3027A" w:rsidP="00E3027A">
            <w:pPr>
              <w:rPr>
                <w:rFonts w:ascii="Calibri" w:eastAsiaTheme="minorHAnsi" w:hAnsi="Calibri" w:cs="Calibri"/>
              </w:rPr>
            </w:pPr>
            <w:r>
              <w:t>Facebook</w:t>
            </w:r>
          </w:p>
          <w:p w14:paraId="2318B6AD" w14:textId="77777777" w:rsidR="00E3027A" w:rsidRDefault="00000000" w:rsidP="00E3027A">
            <w:hyperlink r:id="rId23" w:history="1">
              <w:r w:rsidR="00E3027A">
                <w:rPr>
                  <w:rStyle w:val="Hyperlink"/>
                </w:rPr>
                <w:t>Leicestershire &amp; Rutland Community Pharmacy | Leicester | Facebook</w:t>
              </w:r>
            </w:hyperlink>
          </w:p>
          <w:p w14:paraId="0624C1B3" w14:textId="77777777" w:rsidR="00E3027A" w:rsidRDefault="00E3027A" w:rsidP="00E3027A"/>
          <w:p w14:paraId="4B27A201" w14:textId="77777777" w:rsidR="00E3027A" w:rsidRDefault="00E3027A" w:rsidP="00E3027A">
            <w:r>
              <w:t xml:space="preserve">Instagram </w:t>
            </w:r>
          </w:p>
          <w:p w14:paraId="4A7EE01F" w14:textId="77777777" w:rsidR="00E3027A" w:rsidRDefault="00000000" w:rsidP="00E3027A">
            <w:hyperlink r:id="rId24" w:history="1">
              <w:r w:rsidR="00E3027A">
                <w:rPr>
                  <w:rStyle w:val="Hyperlink"/>
                </w:rPr>
                <w:t>Community Pharmacy Leicestershire &amp; Rutland (@communitypharmaciyllr) | Instagram</w:t>
              </w:r>
            </w:hyperlink>
          </w:p>
          <w:p w14:paraId="0068E45A" w14:textId="77777777" w:rsidR="00E3027A" w:rsidRDefault="00E3027A" w:rsidP="00E3027A"/>
          <w:p w14:paraId="530CF110" w14:textId="77777777" w:rsidR="00E3027A" w:rsidRDefault="00E3027A" w:rsidP="00E3027A">
            <w:r>
              <w:t xml:space="preserve">LinkedIn </w:t>
            </w:r>
          </w:p>
          <w:p w14:paraId="3288DEA3" w14:textId="77777777" w:rsidR="00E3027A" w:rsidRDefault="00000000" w:rsidP="00E3027A">
            <w:hyperlink r:id="rId25" w:history="1">
              <w:r w:rsidR="00E3027A">
                <w:rPr>
                  <w:rStyle w:val="Hyperlink"/>
                </w:rPr>
                <w:t>https://www.linkedin.com/in/community-pharmacy-leicestershire-and-rutland-577723276</w:t>
              </w:r>
            </w:hyperlink>
          </w:p>
          <w:p w14:paraId="67BFD4BB" w14:textId="77777777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F0B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630FB668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C096" w14:textId="637332B6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Mailing List and WhatsApp group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E60" w14:textId="556D4B14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0138" w14:textId="5CE62BBC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9730" w14:textId="77777777" w:rsidR="00FD6A52" w:rsidRDefault="00FD6A52" w:rsidP="00FD6A52">
            <w:pPr>
              <w:pStyle w:val="TableParagraph"/>
              <w:ind w:left="107" w:right="239"/>
            </w:pPr>
            <w:r>
              <w:t xml:space="preserve">Encourage your Locum and Relief Pharmacists to join our mailing list to ensure they are up to date with the latest news and local updates. </w:t>
            </w:r>
          </w:p>
          <w:p w14:paraId="3E8EB1F6" w14:textId="29B657E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Please contact Rajshri, Chief Officer.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0483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5A1451EF" w14:textId="77777777" w:rsidTr="002674BB">
        <w:trPr>
          <w:trHeight w:val="9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00A8" w14:textId="47D18321" w:rsidR="00F1629F" w:rsidRDefault="00F1629F" w:rsidP="00F1629F">
            <w:pPr>
              <w:pStyle w:val="Heading1"/>
              <w:shd w:val="clear" w:color="auto" w:fill="FFFFFF"/>
              <w:spacing w:line="288" w:lineRule="atLeast"/>
              <w:rPr>
                <w:rFonts w:ascii="Carlito" w:eastAsia="Carlito" w:hAnsi="Carlito" w:cs="Carlito"/>
                <w:color w:val="000000" w:themeColor="text1"/>
                <w:sz w:val="22"/>
                <w:szCs w:val="22"/>
              </w:rPr>
            </w:pPr>
            <w:r w:rsidRPr="00F1629F">
              <w:rPr>
                <w:rFonts w:ascii="Carlito" w:eastAsia="Carlito" w:hAnsi="Carlito" w:cs="Carlito"/>
                <w:color w:val="000000" w:themeColor="text1"/>
                <w:sz w:val="22"/>
                <w:szCs w:val="22"/>
              </w:rPr>
              <w:t xml:space="preserve">Know Your </w:t>
            </w:r>
            <w:r w:rsidR="002674BB">
              <w:rPr>
                <w:rFonts w:ascii="Carlito" w:eastAsia="Carlito" w:hAnsi="Carlito" w:cs="Carlito"/>
                <w:color w:val="000000" w:themeColor="text1"/>
                <w:sz w:val="22"/>
                <w:szCs w:val="22"/>
              </w:rPr>
              <w:t xml:space="preserve">Blood Pressure </w:t>
            </w:r>
            <w:r w:rsidRPr="00F1629F">
              <w:rPr>
                <w:rFonts w:ascii="Carlito" w:eastAsia="Carlito" w:hAnsi="Carlito" w:cs="Carlito"/>
                <w:color w:val="000000" w:themeColor="text1"/>
                <w:sz w:val="22"/>
                <w:szCs w:val="22"/>
              </w:rPr>
              <w:t>Numbers Week</w:t>
            </w:r>
            <w:r w:rsidR="002674BB">
              <w:rPr>
                <w:rFonts w:ascii="Carlito" w:eastAsia="Carlito" w:hAnsi="Carlito" w:cs="Carlito"/>
                <w:color w:val="000000" w:themeColor="text1"/>
                <w:sz w:val="22"/>
                <w:szCs w:val="22"/>
              </w:rPr>
              <w:t xml:space="preserve"> </w:t>
            </w:r>
          </w:p>
          <w:p w14:paraId="556E5C38" w14:textId="23E4EAB4" w:rsidR="00FD6A52" w:rsidRPr="00C7358F" w:rsidRDefault="00FD6A52" w:rsidP="002674BB">
            <w:pPr>
              <w:pStyle w:val="TableParagraph"/>
              <w:ind w:left="0" w:right="239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37CC" w14:textId="77777777" w:rsidR="00F1629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  <w:p w14:paraId="05D4C1B7" w14:textId="796E21CA" w:rsidR="00FD6A52" w:rsidRPr="00C7358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3F06" w14:textId="77777777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  <w:p w14:paraId="4E183623" w14:textId="7D099406" w:rsidR="00F1629F" w:rsidRPr="00C7358F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4-10 September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240E" w14:textId="77777777" w:rsidR="00FD6A52" w:rsidRDefault="00FD6A52" w:rsidP="00744A00">
            <w:pPr>
              <w:pStyle w:val="TableParagraph"/>
              <w:ind w:left="107" w:right="239"/>
            </w:pPr>
          </w:p>
          <w:p w14:paraId="11E1C073" w14:textId="46E627FA" w:rsidR="00F1629F" w:rsidRPr="00744A00" w:rsidRDefault="00000000" w:rsidP="00744A00">
            <w:pPr>
              <w:pStyle w:val="TableParagraph"/>
              <w:ind w:left="107" w:right="239"/>
            </w:pPr>
            <w:hyperlink r:id="rId26" w:history="1">
              <w:r w:rsidR="00F1629F">
                <w:rPr>
                  <w:rStyle w:val="Hyperlink"/>
                </w:rPr>
                <w:t>Blood Pressure UK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63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2B978582" w14:textId="77777777" w:rsidTr="002A61FF">
        <w:trPr>
          <w:trHeight w:val="85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D4F2" w14:textId="0117DC98" w:rsidR="00F1629F" w:rsidRDefault="00F1629F" w:rsidP="00F1629F">
            <w:r>
              <w:t xml:space="preserve">World Suicide </w:t>
            </w:r>
            <w:r w:rsidR="002674BB">
              <w:t>Prevention</w:t>
            </w:r>
            <w:r>
              <w:t xml:space="preserve"> Day</w:t>
            </w:r>
          </w:p>
          <w:p w14:paraId="7D791DB2" w14:textId="60EA2A99" w:rsidR="002674BB" w:rsidRPr="00F1629F" w:rsidRDefault="002674BB" w:rsidP="00F162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3964" w14:textId="5FFA3222" w:rsidR="00F1629F" w:rsidRDefault="00F1629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7164" w14:textId="12711BDB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10 September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EEC7" w14:textId="369D3A6D" w:rsidR="002674BB" w:rsidRPr="00744A00" w:rsidRDefault="00000000" w:rsidP="00744A00">
            <w:pPr>
              <w:pStyle w:val="TableParagraph"/>
              <w:ind w:left="107" w:right="239"/>
            </w:pPr>
            <w:hyperlink r:id="rId27" w:history="1">
              <w:r w:rsidR="002674BB">
                <w:rPr>
                  <w:rStyle w:val="Hyperlink"/>
                </w:rPr>
                <w:t>Suicide prevention and postvention | NHS Employers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4667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674BB" w14:paraId="23F2BA14" w14:textId="77777777" w:rsidTr="002A61FF">
        <w:trPr>
          <w:trHeight w:val="85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65AF" w14:textId="7162A4DD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Organ Donation Week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F57E" w14:textId="03B42703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B39E" w14:textId="63D96932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18-24 September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B439" w14:textId="48A68349" w:rsidR="002674BB" w:rsidRDefault="00000000" w:rsidP="00744A00">
            <w:pPr>
              <w:pStyle w:val="TableParagraph"/>
              <w:ind w:left="107" w:right="239"/>
            </w:pPr>
            <w:hyperlink r:id="rId28" w:history="1">
              <w:r w:rsidR="002674BB">
                <w:rPr>
                  <w:rStyle w:val="Hyperlink"/>
                </w:rPr>
                <w:t>Organ donation campaigns - NHS Organ Donation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EA69" w14:textId="77777777" w:rsidR="002674BB" w:rsidRPr="00C7358F" w:rsidRDefault="002674BB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674BB" w14:paraId="44944D2B" w14:textId="77777777" w:rsidTr="002A61FF">
        <w:trPr>
          <w:trHeight w:val="85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7BB4" w14:textId="07C40E38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Patient Safety 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79C4" w14:textId="34ECAC5D" w:rsidR="002674BB" w:rsidRDefault="002674BB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11B7" w14:textId="77364C2D" w:rsidR="002674BB" w:rsidRDefault="002674BB" w:rsidP="002674BB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September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9E8D" w14:textId="72323A58" w:rsidR="002674BB" w:rsidRDefault="00000000" w:rsidP="00744A00">
            <w:pPr>
              <w:pStyle w:val="TableParagraph"/>
              <w:ind w:left="107" w:right="239"/>
            </w:pPr>
            <w:hyperlink r:id="rId29" w:history="1">
              <w:r w:rsidR="002674BB">
                <w:rPr>
                  <w:rStyle w:val="Hyperlink"/>
                </w:rPr>
                <w:t>World Patient Safety Day campaign (who.int)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77D8" w14:textId="77777777" w:rsidR="002674BB" w:rsidRPr="00C7358F" w:rsidRDefault="002674BB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D4E69" w14:paraId="2929682C" w14:textId="77777777" w:rsidTr="00A80CD5">
        <w:trPr>
          <w:trHeight w:val="980"/>
        </w:trPr>
        <w:tc>
          <w:tcPr>
            <w:tcW w:w="1780" w:type="dxa"/>
          </w:tcPr>
          <w:p w14:paraId="78796384" w14:textId="7398AF2A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Calendar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national campaigns</w:t>
            </w:r>
          </w:p>
        </w:tc>
        <w:tc>
          <w:tcPr>
            <w:tcW w:w="1843" w:type="dxa"/>
          </w:tcPr>
          <w:p w14:paraId="63EBABF9" w14:textId="4384C895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Contractual requirement</w:t>
            </w:r>
          </w:p>
        </w:tc>
        <w:tc>
          <w:tcPr>
            <w:tcW w:w="1559" w:type="dxa"/>
          </w:tcPr>
          <w:p w14:paraId="63315462" w14:textId="580FCC60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Reminder</w:t>
            </w:r>
          </w:p>
        </w:tc>
        <w:tc>
          <w:tcPr>
            <w:tcW w:w="3544" w:type="dxa"/>
          </w:tcPr>
          <w:p w14:paraId="767F2723" w14:textId="71206D51" w:rsidR="009D4E69" w:rsidRDefault="00000000" w:rsidP="009D4E69">
            <w:pPr>
              <w:pStyle w:val="TableParagraph"/>
              <w:ind w:left="107" w:right="239"/>
            </w:pPr>
            <w:hyperlink r:id="rId30">
              <w:r w:rsidR="009D4E69">
                <w:rPr>
                  <w:color w:val="0461C1"/>
                  <w:u w:val="single" w:color="0461C1"/>
                </w:rPr>
                <w:t>Please</w:t>
              </w:r>
              <w:r w:rsidR="009D4E69">
                <w:rPr>
                  <w:color w:val="0461C1"/>
                  <w:spacing w:val="-9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find</w:t>
              </w:r>
              <w:r w:rsidR="009D4E69">
                <w:rPr>
                  <w:color w:val="0461C1"/>
                  <w:spacing w:val="-10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here</w:t>
              </w:r>
            </w:hyperlink>
            <w:r w:rsidR="009D4E69">
              <w:rPr>
                <w:color w:val="0461C1"/>
                <w:spacing w:val="-10"/>
              </w:rPr>
              <w:t xml:space="preserve"> </w:t>
            </w:r>
            <w:r w:rsidR="009D4E69">
              <w:t>National</w:t>
            </w:r>
            <w:r w:rsidR="009D4E69">
              <w:rPr>
                <w:spacing w:val="-9"/>
              </w:rPr>
              <w:t xml:space="preserve"> </w:t>
            </w:r>
            <w:r w:rsidR="009D4E69">
              <w:t>campaigns, awards and awareness</w:t>
            </w:r>
            <w:r w:rsidR="009D4E69">
              <w:rPr>
                <w:spacing w:val="-7"/>
              </w:rPr>
              <w:t xml:space="preserve"> </w:t>
            </w:r>
            <w:r w:rsidR="009D4E69">
              <w:t>days</w:t>
            </w:r>
            <w:r w:rsidR="009D4E69">
              <w:rPr>
                <w:spacing w:val="-9"/>
              </w:rPr>
              <w:t xml:space="preserve"> </w:t>
            </w:r>
            <w:r w:rsidR="009D4E69">
              <w:t>to</w:t>
            </w:r>
            <w:r w:rsidR="009D4E69">
              <w:rPr>
                <w:spacing w:val="-6"/>
              </w:rPr>
              <w:t xml:space="preserve"> </w:t>
            </w:r>
            <w:r w:rsidR="009D4E69">
              <w:t>help</w:t>
            </w:r>
            <w:r w:rsidR="009D4E69">
              <w:rPr>
                <w:spacing w:val="-10"/>
              </w:rPr>
              <w:t xml:space="preserve"> </w:t>
            </w:r>
            <w:r w:rsidR="009D4E69">
              <w:t>you</w:t>
            </w:r>
            <w:r w:rsidR="009D4E69">
              <w:rPr>
                <w:spacing w:val="-8"/>
              </w:rPr>
              <w:t xml:space="preserve"> </w:t>
            </w:r>
            <w:r w:rsidR="009D4E69">
              <w:t>plan activities for the year.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6D5E" w14:textId="77777777" w:rsidR="009D4E69" w:rsidRPr="00C7358F" w:rsidRDefault="009D4E69" w:rsidP="009D4E69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</w:tbl>
    <w:p w14:paraId="255E33DB" w14:textId="77777777" w:rsidR="00162A4A" w:rsidRDefault="00162A4A">
      <w:pPr>
        <w:rPr>
          <w:rFonts w:ascii="Times New Roman"/>
        </w:rPr>
      </w:pPr>
    </w:p>
    <w:p w14:paraId="31F2162E" w14:textId="77777777" w:rsidR="002A61FF" w:rsidRDefault="002A61FF">
      <w:pPr>
        <w:rPr>
          <w:rFonts w:ascii="Times New Roman"/>
        </w:rPr>
      </w:pPr>
    </w:p>
    <w:p w14:paraId="386C1A92" w14:textId="77777777" w:rsidR="002A61FF" w:rsidRDefault="002A61FF">
      <w:pPr>
        <w:rPr>
          <w:rFonts w:ascii="Times New Roman"/>
        </w:rPr>
      </w:pPr>
    </w:p>
    <w:p w14:paraId="205806F7" w14:textId="77777777" w:rsidR="002A61FF" w:rsidRDefault="002A61FF">
      <w:pPr>
        <w:rPr>
          <w:rFonts w:ascii="Times New Roman"/>
        </w:rPr>
      </w:pPr>
    </w:p>
    <w:p w14:paraId="3A712190" w14:textId="77777777" w:rsidR="002A61FF" w:rsidRDefault="002A61FF">
      <w:pPr>
        <w:rPr>
          <w:rFonts w:ascii="Times New Roman"/>
        </w:rPr>
      </w:pPr>
    </w:p>
    <w:p w14:paraId="6DE5D0C2" w14:textId="77777777" w:rsidR="002A61FF" w:rsidRDefault="002A61FF">
      <w:pPr>
        <w:rPr>
          <w:rFonts w:ascii="Times New Roman"/>
        </w:rPr>
      </w:pPr>
    </w:p>
    <w:p w14:paraId="53E0C2F4" w14:textId="77777777" w:rsidR="00AD1DE7" w:rsidRDefault="00AD1DE7" w:rsidP="00515869">
      <w:pPr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AD1DE7" w14:paraId="346728EE" w14:textId="77777777" w:rsidTr="00AD1DE7">
        <w:tc>
          <w:tcPr>
            <w:tcW w:w="10800" w:type="dxa"/>
            <w:gridSpan w:val="2"/>
            <w:shd w:val="clear" w:color="auto" w:fill="0072CE"/>
          </w:tcPr>
          <w:p w14:paraId="245B2EFE" w14:textId="492F98AA" w:rsidR="00AD1DE7" w:rsidRPr="00AD1DE7" w:rsidRDefault="00AD1DE7" w:rsidP="006B2B90">
            <w:pPr>
              <w:pStyle w:val="BodyText"/>
              <w:spacing w:before="72"/>
              <w:rPr>
                <w:b/>
                <w:bCs/>
                <w:sz w:val="28"/>
                <w:szCs w:val="28"/>
              </w:rPr>
            </w:pPr>
            <w:r w:rsidRPr="00AD1DE7">
              <w:rPr>
                <w:b/>
                <w:bCs/>
                <w:sz w:val="28"/>
                <w:szCs w:val="28"/>
              </w:rPr>
              <w:t>If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you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require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additional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support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from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FD6A52">
              <w:rPr>
                <w:b/>
                <w:bCs/>
                <w:spacing w:val="-4"/>
                <w:sz w:val="28"/>
                <w:szCs w:val="28"/>
              </w:rPr>
              <w:t>administrative team</w:t>
            </w:r>
            <w:r w:rsidRPr="00AD1DE7">
              <w:rPr>
                <w:b/>
                <w:bCs/>
                <w:sz w:val="28"/>
                <w:szCs w:val="28"/>
              </w:rPr>
              <w:t>,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please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contact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any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member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of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>team:</w:t>
            </w:r>
          </w:p>
          <w:p w14:paraId="59267BC5" w14:textId="77777777" w:rsidR="00AD1DE7" w:rsidRDefault="00AD1DE7" w:rsidP="00BE1CD9">
            <w:pPr>
              <w:rPr>
                <w:rFonts w:ascii="Times New Roman"/>
              </w:rPr>
            </w:pPr>
          </w:p>
        </w:tc>
      </w:tr>
      <w:tr w:rsidR="00AD1DE7" w14:paraId="2EB0AB7D" w14:textId="77777777" w:rsidTr="00BE1CD9">
        <w:tc>
          <w:tcPr>
            <w:tcW w:w="5400" w:type="dxa"/>
          </w:tcPr>
          <w:p w14:paraId="749A0FAB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 xml:space="preserve">Rajshri Owen- Chief Officer </w:t>
            </w:r>
          </w:p>
        </w:tc>
        <w:tc>
          <w:tcPr>
            <w:tcW w:w="5400" w:type="dxa"/>
          </w:tcPr>
          <w:p w14:paraId="555811D3" w14:textId="602A4D62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1" w:history="1">
              <w:r w:rsidR="00FD6A52" w:rsidRPr="009205E9">
                <w:rPr>
                  <w:rStyle w:val="Hyperlink"/>
                  <w:rFonts w:asciiTheme="minorHAnsi" w:hAnsiTheme="minorHAnsi" w:cstheme="minorHAnsi"/>
                </w:rPr>
                <w:t>chiefofficer@leics-lpc.co.uk</w:t>
              </w:r>
            </w:hyperlink>
          </w:p>
        </w:tc>
      </w:tr>
      <w:tr w:rsidR="00AD1DE7" w14:paraId="179DF749" w14:textId="77777777" w:rsidTr="00BE1CD9">
        <w:tc>
          <w:tcPr>
            <w:tcW w:w="5400" w:type="dxa"/>
          </w:tcPr>
          <w:p w14:paraId="4AAF9A19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Kate – Administrator</w:t>
            </w:r>
          </w:p>
        </w:tc>
        <w:tc>
          <w:tcPr>
            <w:tcW w:w="5400" w:type="dxa"/>
          </w:tcPr>
          <w:p w14:paraId="4DB79A0E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2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admin@leics-lpc.co.uk</w:t>
              </w:r>
            </w:hyperlink>
          </w:p>
        </w:tc>
      </w:tr>
      <w:tr w:rsidR="00AD1DE7" w14:paraId="1A7B9DE9" w14:textId="77777777" w:rsidTr="00BE1CD9">
        <w:tc>
          <w:tcPr>
            <w:tcW w:w="5400" w:type="dxa"/>
          </w:tcPr>
          <w:p w14:paraId="22246A16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Gareth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McCague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–</w:t>
            </w:r>
            <w:r w:rsidRPr="00771E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Service</w:t>
            </w:r>
            <w:r w:rsidRPr="00771E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Delivery</w:t>
            </w:r>
            <w:r w:rsidRPr="00771EA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5400" w:type="dxa"/>
          </w:tcPr>
          <w:p w14:paraId="6A069B2B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3">
              <w:r w:rsidR="00AD1DE7" w:rsidRPr="00771EAC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service.support@leics-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</w:rPr>
              <w:t xml:space="preserve"> </w:t>
            </w:r>
            <w:hyperlink r:id="rId34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lpc.co.uk</w:t>
              </w:r>
            </w:hyperlink>
          </w:p>
        </w:tc>
      </w:tr>
      <w:tr w:rsidR="00AD1DE7" w14:paraId="5A3BD93B" w14:textId="77777777" w:rsidTr="00BE1CD9">
        <w:tc>
          <w:tcPr>
            <w:tcW w:w="5400" w:type="dxa"/>
          </w:tcPr>
          <w:p w14:paraId="1365AC98" w14:textId="77777777" w:rsidR="00AD1DE7" w:rsidRPr="00771EAC" w:rsidRDefault="00AD1DE7" w:rsidP="00BE1CD9">
            <w:pPr>
              <w:pStyle w:val="BodyText"/>
              <w:spacing w:before="1" w:line="267" w:lineRule="exact"/>
              <w:jc w:val="both"/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Vinay</w:t>
            </w:r>
            <w:r w:rsidRPr="00771EA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Mistry-Service</w:t>
            </w:r>
            <w:r w:rsidRPr="00771EA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Development</w:t>
            </w:r>
            <w:r w:rsidRPr="00771E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1EAC">
              <w:rPr>
                <w:rFonts w:asciiTheme="minorHAnsi" w:hAnsiTheme="minorHAnsi" w:cstheme="minorHAnsi"/>
                <w:spacing w:val="-4"/>
              </w:rPr>
              <w:t>Lead</w:t>
            </w:r>
          </w:p>
        </w:tc>
        <w:tc>
          <w:tcPr>
            <w:tcW w:w="5400" w:type="dxa"/>
          </w:tcPr>
          <w:p w14:paraId="3E9AF87E" w14:textId="77777777" w:rsidR="00AD1DE7" w:rsidRPr="00771EAC" w:rsidRDefault="00000000" w:rsidP="00BE1CD9">
            <w:pPr>
              <w:pStyle w:val="BodyText"/>
              <w:spacing w:line="267" w:lineRule="exact"/>
              <w:rPr>
                <w:rFonts w:asciiTheme="minorHAnsi" w:hAnsiTheme="minorHAnsi" w:cstheme="minorHAnsi"/>
              </w:rPr>
            </w:pPr>
            <w:hyperlink r:id="rId35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servicedevelopmentlead@leics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  <w:t>-lpc.co.uk</w:t>
            </w:r>
          </w:p>
        </w:tc>
      </w:tr>
    </w:tbl>
    <w:p w14:paraId="5E274A53" w14:textId="77777777" w:rsidR="00AD1DE7" w:rsidRPr="00515869" w:rsidRDefault="00AD1DE7" w:rsidP="00515869">
      <w:pPr>
        <w:rPr>
          <w:rFonts w:ascii="Times New Roman"/>
        </w:rPr>
      </w:pPr>
    </w:p>
    <w:p w14:paraId="4BCD5EA7" w14:textId="77777777" w:rsidR="00515869" w:rsidRPr="00515869" w:rsidRDefault="00515869" w:rsidP="00515869">
      <w:pPr>
        <w:rPr>
          <w:rFonts w:ascii="Times New Roman"/>
        </w:rPr>
      </w:pPr>
    </w:p>
    <w:p w14:paraId="5B575FF1" w14:textId="77777777" w:rsidR="00515869" w:rsidRPr="00515869" w:rsidRDefault="00515869" w:rsidP="00515869">
      <w:pPr>
        <w:rPr>
          <w:rFonts w:ascii="Times New Roman"/>
        </w:rPr>
      </w:pPr>
    </w:p>
    <w:p w14:paraId="5B51B43B" w14:textId="77777777" w:rsidR="00515869" w:rsidRPr="00515869" w:rsidRDefault="00515869" w:rsidP="00515869">
      <w:pPr>
        <w:rPr>
          <w:rFonts w:ascii="Times New Roman"/>
        </w:rPr>
      </w:pPr>
    </w:p>
    <w:p w14:paraId="7C824200" w14:textId="77777777" w:rsidR="00515869" w:rsidRPr="00515869" w:rsidRDefault="00515869" w:rsidP="00515869">
      <w:pPr>
        <w:rPr>
          <w:rFonts w:ascii="Times New Roman"/>
        </w:rPr>
      </w:pPr>
    </w:p>
    <w:p w14:paraId="09687C39" w14:textId="77777777" w:rsidR="00515869" w:rsidRPr="00515869" w:rsidRDefault="00515869" w:rsidP="00515869">
      <w:pPr>
        <w:rPr>
          <w:rFonts w:ascii="Times New Roman"/>
        </w:rPr>
      </w:pPr>
    </w:p>
    <w:p w14:paraId="23865F65" w14:textId="77777777" w:rsidR="00515869" w:rsidRPr="00515869" w:rsidRDefault="00515869" w:rsidP="00515869">
      <w:pPr>
        <w:rPr>
          <w:rFonts w:ascii="Times New Roman"/>
        </w:rPr>
      </w:pPr>
    </w:p>
    <w:p w14:paraId="129CD582" w14:textId="77777777" w:rsidR="00515869" w:rsidRPr="00515869" w:rsidRDefault="00515869" w:rsidP="00515869">
      <w:pPr>
        <w:rPr>
          <w:rFonts w:ascii="Times New Roman"/>
        </w:rPr>
      </w:pPr>
    </w:p>
    <w:p w14:paraId="0E9AB7DC" w14:textId="77777777" w:rsidR="00515869" w:rsidRPr="00515869" w:rsidRDefault="00515869" w:rsidP="00515869">
      <w:pPr>
        <w:rPr>
          <w:rFonts w:ascii="Times New Roman"/>
        </w:rPr>
      </w:pPr>
    </w:p>
    <w:p w14:paraId="7AB2B3D8" w14:textId="77777777" w:rsidR="00515869" w:rsidRPr="00515869" w:rsidRDefault="00515869" w:rsidP="00515869">
      <w:pPr>
        <w:rPr>
          <w:rFonts w:ascii="Times New Roman"/>
        </w:rPr>
      </w:pPr>
    </w:p>
    <w:p w14:paraId="0958BA3C" w14:textId="77777777" w:rsidR="00515869" w:rsidRPr="00515869" w:rsidRDefault="00515869" w:rsidP="00515869">
      <w:pPr>
        <w:rPr>
          <w:rFonts w:ascii="Times New Roman"/>
        </w:rPr>
      </w:pPr>
    </w:p>
    <w:p w14:paraId="468E595F" w14:textId="77777777" w:rsidR="00515869" w:rsidRPr="00515869" w:rsidRDefault="00515869" w:rsidP="00515869">
      <w:pPr>
        <w:rPr>
          <w:rFonts w:ascii="Times New Roman"/>
        </w:rPr>
      </w:pPr>
    </w:p>
    <w:p w14:paraId="5DA58DC1" w14:textId="77777777" w:rsidR="00515869" w:rsidRPr="00515869" w:rsidRDefault="00515869" w:rsidP="00515869">
      <w:pPr>
        <w:rPr>
          <w:rFonts w:ascii="Times New Roman"/>
        </w:rPr>
      </w:pPr>
    </w:p>
    <w:p w14:paraId="2179B3C0" w14:textId="77777777" w:rsidR="00515869" w:rsidRPr="00515869" w:rsidRDefault="00515869" w:rsidP="00515869">
      <w:pPr>
        <w:rPr>
          <w:rFonts w:ascii="Times New Roman"/>
        </w:rPr>
      </w:pPr>
    </w:p>
    <w:p w14:paraId="5509A69B" w14:textId="77777777" w:rsidR="00515869" w:rsidRPr="00515869" w:rsidRDefault="00515869" w:rsidP="00515869">
      <w:pPr>
        <w:rPr>
          <w:rFonts w:ascii="Times New Roman"/>
        </w:rPr>
      </w:pPr>
    </w:p>
    <w:p w14:paraId="107DBB06" w14:textId="77777777" w:rsidR="00515869" w:rsidRPr="00515869" w:rsidRDefault="00515869" w:rsidP="00515869">
      <w:pPr>
        <w:rPr>
          <w:rFonts w:ascii="Times New Roman"/>
        </w:rPr>
      </w:pPr>
    </w:p>
    <w:p w14:paraId="3E48AA11" w14:textId="77777777" w:rsidR="00515869" w:rsidRPr="00515869" w:rsidRDefault="00515869" w:rsidP="00515869">
      <w:pPr>
        <w:rPr>
          <w:rFonts w:ascii="Times New Roman"/>
        </w:rPr>
      </w:pPr>
    </w:p>
    <w:p w14:paraId="1A17019D" w14:textId="77777777" w:rsidR="00515869" w:rsidRPr="00515869" w:rsidRDefault="00515869" w:rsidP="00515869">
      <w:pPr>
        <w:rPr>
          <w:rFonts w:ascii="Times New Roman"/>
        </w:rPr>
      </w:pPr>
    </w:p>
    <w:p w14:paraId="0ECF0CF9" w14:textId="77777777" w:rsidR="00515869" w:rsidRDefault="00515869" w:rsidP="00515869">
      <w:pPr>
        <w:rPr>
          <w:rFonts w:ascii="Times New Roman"/>
        </w:rPr>
      </w:pPr>
    </w:p>
    <w:p w14:paraId="6A651AB2" w14:textId="092942A2" w:rsidR="00162A4A" w:rsidRDefault="00162A4A" w:rsidP="00515869">
      <w:pPr>
        <w:tabs>
          <w:tab w:val="left" w:pos="1440"/>
        </w:tabs>
        <w:rPr>
          <w:sz w:val="11"/>
        </w:rPr>
      </w:pPr>
    </w:p>
    <w:sectPr w:rsidR="00162A4A" w:rsidSect="009D4E69">
      <w:headerReference w:type="default" r:id="rId36"/>
      <w:pgSz w:w="11910" w:h="16840"/>
      <w:pgMar w:top="660" w:right="580" w:bottom="280" w:left="52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6093" w14:textId="77777777" w:rsidR="00DE31E6" w:rsidRDefault="00DE31E6" w:rsidP="009D4E69">
      <w:r>
        <w:separator/>
      </w:r>
    </w:p>
  </w:endnote>
  <w:endnote w:type="continuationSeparator" w:id="0">
    <w:p w14:paraId="15F7076D" w14:textId="77777777" w:rsidR="00DE31E6" w:rsidRDefault="00DE31E6" w:rsidP="009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D5AC" w14:textId="77777777" w:rsidR="00DE31E6" w:rsidRDefault="00DE31E6" w:rsidP="009D4E69">
      <w:r>
        <w:separator/>
      </w:r>
    </w:p>
  </w:footnote>
  <w:footnote w:type="continuationSeparator" w:id="0">
    <w:p w14:paraId="520A63ED" w14:textId="77777777" w:rsidR="00DE31E6" w:rsidRDefault="00DE31E6" w:rsidP="009D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401" w14:textId="41D95D94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428D231F" wp14:editId="4DD741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0995" cy="1078865"/>
          <wp:effectExtent l="0" t="0" r="0" b="6985"/>
          <wp:wrapTight wrapText="bothSides">
            <wp:wrapPolygon edited="0">
              <wp:start x="0" y="0"/>
              <wp:lineTo x="0" y="21358"/>
              <wp:lineTo x="21424" y="21358"/>
              <wp:lineTo x="21424" y="0"/>
              <wp:lineTo x="0" y="0"/>
            </wp:wrapPolygon>
          </wp:wrapTight>
          <wp:docPr id="631759084" name="Picture 631759084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42260" name="Picture 1" descr="A picture containing text, font, symbol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DE7">
      <w:rPr>
        <w:b/>
        <w:color w:val="FF6D3A"/>
        <w:sz w:val="32"/>
      </w:rPr>
      <w:t>Community Pharmacy</w:t>
    </w:r>
  </w:p>
  <w:p w14:paraId="51471C8B" w14:textId="4AE7CD4F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 w:rsidRPr="00AD1DE7">
      <w:rPr>
        <w:b/>
        <w:color w:val="FF6D3A"/>
        <w:sz w:val="32"/>
      </w:rPr>
      <w:t>Deadline Tracker</w:t>
    </w:r>
  </w:p>
  <w:p w14:paraId="2CFCBC10" w14:textId="23EC7F30" w:rsidR="009D4E69" w:rsidRDefault="002674BB" w:rsidP="009D4E69">
    <w:pPr>
      <w:pStyle w:val="Header"/>
      <w:jc w:val="center"/>
      <w:rPr>
        <w:b/>
        <w:color w:val="FF6D3A"/>
        <w:sz w:val="32"/>
      </w:rPr>
    </w:pPr>
    <w:r>
      <w:rPr>
        <w:b/>
        <w:color w:val="FF6D3A"/>
        <w:sz w:val="32"/>
      </w:rPr>
      <w:t>September</w:t>
    </w:r>
    <w:r w:rsidR="009D4E69" w:rsidRPr="00AD1DE7">
      <w:rPr>
        <w:b/>
        <w:color w:val="FF6D3A"/>
        <w:sz w:val="32"/>
      </w:rPr>
      <w:t xml:space="preserve"> 2023</w:t>
    </w:r>
  </w:p>
  <w:p w14:paraId="2D37698F" w14:textId="77777777" w:rsidR="009D4E69" w:rsidRPr="009D4E69" w:rsidRDefault="009D4E69" w:rsidP="009D4E69">
    <w:pPr>
      <w:pStyle w:val="Header"/>
      <w:rPr>
        <w:b/>
        <w:color w:val="FF6D3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0A7"/>
    <w:multiLevelType w:val="multilevel"/>
    <w:tmpl w:val="70DE92FA"/>
    <w:styleLink w:val="WWNum2"/>
    <w:lvl w:ilvl="0">
      <w:numFmt w:val="bullet"/>
      <w:lvlText w:val="•"/>
      <w:lvlJc w:val="left"/>
      <w:pPr>
        <w:ind w:left="270" w:hanging="16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605" w:hanging="1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930" w:hanging="1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1256" w:hanging="1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581" w:hanging="1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907" w:hanging="1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232" w:hanging="1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557" w:hanging="1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83" w:hanging="161"/>
      </w:pPr>
      <w:rPr>
        <w:lang w:val="en-US" w:eastAsia="en-US" w:bidi="ar-SA"/>
      </w:rPr>
    </w:lvl>
  </w:abstractNum>
  <w:abstractNum w:abstractNumId="1" w15:restartNumberingAfterBreak="0">
    <w:nsid w:val="74040656"/>
    <w:multiLevelType w:val="hybridMultilevel"/>
    <w:tmpl w:val="9D44E030"/>
    <w:lvl w:ilvl="0" w:tplc="5638055E">
      <w:numFmt w:val="bullet"/>
      <w:lvlText w:val="•"/>
      <w:lvlJc w:val="left"/>
      <w:pPr>
        <w:ind w:left="26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9E62E6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A4F03304">
      <w:numFmt w:val="bullet"/>
      <w:lvlText w:val="•"/>
      <w:lvlJc w:val="left"/>
      <w:pPr>
        <w:ind w:left="1141" w:hanging="161"/>
      </w:pPr>
      <w:rPr>
        <w:rFonts w:hint="default"/>
        <w:lang w:val="en-US" w:eastAsia="en-US" w:bidi="ar-SA"/>
      </w:rPr>
    </w:lvl>
    <w:lvl w:ilvl="3" w:tplc="9D28B748">
      <w:numFmt w:val="bullet"/>
      <w:lvlText w:val="•"/>
      <w:lvlJc w:val="left"/>
      <w:pPr>
        <w:ind w:left="1582" w:hanging="161"/>
      </w:pPr>
      <w:rPr>
        <w:rFonts w:hint="default"/>
        <w:lang w:val="en-US" w:eastAsia="en-US" w:bidi="ar-SA"/>
      </w:rPr>
    </w:lvl>
    <w:lvl w:ilvl="4" w:tplc="CC509760">
      <w:numFmt w:val="bullet"/>
      <w:lvlText w:val="•"/>
      <w:lvlJc w:val="left"/>
      <w:pPr>
        <w:ind w:left="2023" w:hanging="161"/>
      </w:pPr>
      <w:rPr>
        <w:rFonts w:hint="default"/>
        <w:lang w:val="en-US" w:eastAsia="en-US" w:bidi="ar-SA"/>
      </w:rPr>
    </w:lvl>
    <w:lvl w:ilvl="5" w:tplc="E9E202E8">
      <w:numFmt w:val="bullet"/>
      <w:lvlText w:val="•"/>
      <w:lvlJc w:val="left"/>
      <w:pPr>
        <w:ind w:left="2464" w:hanging="161"/>
      </w:pPr>
      <w:rPr>
        <w:rFonts w:hint="default"/>
        <w:lang w:val="en-US" w:eastAsia="en-US" w:bidi="ar-SA"/>
      </w:rPr>
    </w:lvl>
    <w:lvl w:ilvl="6" w:tplc="ECA64054">
      <w:numFmt w:val="bullet"/>
      <w:lvlText w:val="•"/>
      <w:lvlJc w:val="left"/>
      <w:pPr>
        <w:ind w:left="2905" w:hanging="161"/>
      </w:pPr>
      <w:rPr>
        <w:rFonts w:hint="default"/>
        <w:lang w:val="en-US" w:eastAsia="en-US" w:bidi="ar-SA"/>
      </w:rPr>
    </w:lvl>
    <w:lvl w:ilvl="7" w:tplc="34A62A9A">
      <w:numFmt w:val="bullet"/>
      <w:lvlText w:val="•"/>
      <w:lvlJc w:val="left"/>
      <w:pPr>
        <w:ind w:left="3346" w:hanging="161"/>
      </w:pPr>
      <w:rPr>
        <w:rFonts w:hint="default"/>
        <w:lang w:val="en-US" w:eastAsia="en-US" w:bidi="ar-SA"/>
      </w:rPr>
    </w:lvl>
    <w:lvl w:ilvl="8" w:tplc="DAF45C4A">
      <w:numFmt w:val="bullet"/>
      <w:lvlText w:val="•"/>
      <w:lvlJc w:val="left"/>
      <w:pPr>
        <w:ind w:left="3787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7C9E02A5"/>
    <w:multiLevelType w:val="hybridMultilevel"/>
    <w:tmpl w:val="3FD8A604"/>
    <w:lvl w:ilvl="0" w:tplc="98A0B63E">
      <w:numFmt w:val="bullet"/>
      <w:lvlText w:val="•"/>
      <w:lvlJc w:val="left"/>
      <w:pPr>
        <w:ind w:left="10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5324530">
      <w:numFmt w:val="bullet"/>
      <w:lvlText w:val="•"/>
      <w:lvlJc w:val="left"/>
      <w:pPr>
        <w:ind w:left="556" w:hanging="161"/>
      </w:pPr>
      <w:rPr>
        <w:rFonts w:hint="default"/>
        <w:lang w:val="en-US" w:eastAsia="en-US" w:bidi="ar-SA"/>
      </w:rPr>
    </w:lvl>
    <w:lvl w:ilvl="2" w:tplc="D8220D90">
      <w:numFmt w:val="bullet"/>
      <w:lvlText w:val="•"/>
      <w:lvlJc w:val="left"/>
      <w:pPr>
        <w:ind w:left="1013" w:hanging="161"/>
      </w:pPr>
      <w:rPr>
        <w:rFonts w:hint="default"/>
        <w:lang w:val="en-US" w:eastAsia="en-US" w:bidi="ar-SA"/>
      </w:rPr>
    </w:lvl>
    <w:lvl w:ilvl="3" w:tplc="CEEE3F16">
      <w:numFmt w:val="bullet"/>
      <w:lvlText w:val="•"/>
      <w:lvlJc w:val="left"/>
      <w:pPr>
        <w:ind w:left="1470" w:hanging="161"/>
      </w:pPr>
      <w:rPr>
        <w:rFonts w:hint="default"/>
        <w:lang w:val="en-US" w:eastAsia="en-US" w:bidi="ar-SA"/>
      </w:rPr>
    </w:lvl>
    <w:lvl w:ilvl="4" w:tplc="B73E7808">
      <w:numFmt w:val="bullet"/>
      <w:lvlText w:val="•"/>
      <w:lvlJc w:val="left"/>
      <w:pPr>
        <w:ind w:left="1927" w:hanging="161"/>
      </w:pPr>
      <w:rPr>
        <w:rFonts w:hint="default"/>
        <w:lang w:val="en-US" w:eastAsia="en-US" w:bidi="ar-SA"/>
      </w:rPr>
    </w:lvl>
    <w:lvl w:ilvl="5" w:tplc="38825544">
      <w:numFmt w:val="bullet"/>
      <w:lvlText w:val="•"/>
      <w:lvlJc w:val="left"/>
      <w:pPr>
        <w:ind w:left="2384" w:hanging="161"/>
      </w:pPr>
      <w:rPr>
        <w:rFonts w:hint="default"/>
        <w:lang w:val="en-US" w:eastAsia="en-US" w:bidi="ar-SA"/>
      </w:rPr>
    </w:lvl>
    <w:lvl w:ilvl="6" w:tplc="8F70612C">
      <w:numFmt w:val="bullet"/>
      <w:lvlText w:val="•"/>
      <w:lvlJc w:val="left"/>
      <w:pPr>
        <w:ind w:left="2841" w:hanging="161"/>
      </w:pPr>
      <w:rPr>
        <w:rFonts w:hint="default"/>
        <w:lang w:val="en-US" w:eastAsia="en-US" w:bidi="ar-SA"/>
      </w:rPr>
    </w:lvl>
    <w:lvl w:ilvl="7" w:tplc="4142F0EA">
      <w:numFmt w:val="bullet"/>
      <w:lvlText w:val="•"/>
      <w:lvlJc w:val="left"/>
      <w:pPr>
        <w:ind w:left="3298" w:hanging="161"/>
      </w:pPr>
      <w:rPr>
        <w:rFonts w:hint="default"/>
        <w:lang w:val="en-US" w:eastAsia="en-US" w:bidi="ar-SA"/>
      </w:rPr>
    </w:lvl>
    <w:lvl w:ilvl="8" w:tplc="D7C8BE58">
      <w:numFmt w:val="bullet"/>
      <w:lvlText w:val="•"/>
      <w:lvlJc w:val="left"/>
      <w:pPr>
        <w:ind w:left="3755" w:hanging="161"/>
      </w:pPr>
      <w:rPr>
        <w:rFonts w:hint="default"/>
        <w:lang w:val="en-US" w:eastAsia="en-US" w:bidi="ar-SA"/>
      </w:rPr>
    </w:lvl>
  </w:abstractNum>
  <w:num w:numId="1" w16cid:durableId="1046836856">
    <w:abstractNumId w:val="1"/>
  </w:num>
  <w:num w:numId="2" w16cid:durableId="205722974">
    <w:abstractNumId w:val="2"/>
  </w:num>
  <w:num w:numId="3" w16cid:durableId="1171291454">
    <w:abstractNumId w:val="0"/>
  </w:num>
  <w:num w:numId="4" w16cid:durableId="11677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A"/>
    <w:rsid w:val="00033BE1"/>
    <w:rsid w:val="00046756"/>
    <w:rsid w:val="00062865"/>
    <w:rsid w:val="0009476A"/>
    <w:rsid w:val="000E2B7C"/>
    <w:rsid w:val="00103136"/>
    <w:rsid w:val="00162A4A"/>
    <w:rsid w:val="002674BB"/>
    <w:rsid w:val="002A61FF"/>
    <w:rsid w:val="003777D2"/>
    <w:rsid w:val="00481168"/>
    <w:rsid w:val="004A77AA"/>
    <w:rsid w:val="00515869"/>
    <w:rsid w:val="00554E2F"/>
    <w:rsid w:val="00654E61"/>
    <w:rsid w:val="00660211"/>
    <w:rsid w:val="006767C4"/>
    <w:rsid w:val="006B2B90"/>
    <w:rsid w:val="00722586"/>
    <w:rsid w:val="00741A9B"/>
    <w:rsid w:val="00744A00"/>
    <w:rsid w:val="00770E2F"/>
    <w:rsid w:val="007B774F"/>
    <w:rsid w:val="007C27F6"/>
    <w:rsid w:val="008A1251"/>
    <w:rsid w:val="008E7C10"/>
    <w:rsid w:val="00912AA7"/>
    <w:rsid w:val="009268E5"/>
    <w:rsid w:val="00960D17"/>
    <w:rsid w:val="009D4E69"/>
    <w:rsid w:val="00A525FA"/>
    <w:rsid w:val="00AD1DE7"/>
    <w:rsid w:val="00B47BEB"/>
    <w:rsid w:val="00B52378"/>
    <w:rsid w:val="00B6477A"/>
    <w:rsid w:val="00BE3A8C"/>
    <w:rsid w:val="00C34DDC"/>
    <w:rsid w:val="00C7358F"/>
    <w:rsid w:val="00C95445"/>
    <w:rsid w:val="00CC52B8"/>
    <w:rsid w:val="00D70A8A"/>
    <w:rsid w:val="00D90242"/>
    <w:rsid w:val="00DC0F27"/>
    <w:rsid w:val="00DD6303"/>
    <w:rsid w:val="00DE31E6"/>
    <w:rsid w:val="00E3027A"/>
    <w:rsid w:val="00E411A7"/>
    <w:rsid w:val="00E97757"/>
    <w:rsid w:val="00ED291D"/>
    <w:rsid w:val="00EE3602"/>
    <w:rsid w:val="00F1629F"/>
    <w:rsid w:val="00FA6F93"/>
    <w:rsid w:val="00FB541D"/>
    <w:rsid w:val="00FD6A5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08EE"/>
  <w15:docId w15:val="{6AB60426-541D-4A91-BEC3-DEC193C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360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DC0F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F27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F27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C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C4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C4"/>
    <w:pPr>
      <w:widowControl/>
      <w:autoSpaceDE/>
      <w:autoSpaceDN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046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865"/>
    <w:rPr>
      <w:color w:val="800080" w:themeColor="followedHyperlink"/>
      <w:u w:val="single"/>
    </w:rPr>
  </w:style>
  <w:style w:type="paragraph" w:customStyle="1" w:styleId="Standard">
    <w:name w:val="Standard"/>
    <w:rsid w:val="00C7358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</w:rPr>
  </w:style>
  <w:style w:type="numbering" w:customStyle="1" w:styleId="WWNum2">
    <w:name w:val="WWNum2"/>
    <w:basedOn w:val="NoList"/>
    <w:rsid w:val="00C7358F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E360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1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1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D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6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6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ganisation.nhswebsite.nhs.uk/" TargetMode="External"/><Relationship Id="rId18" Type="http://schemas.openxmlformats.org/officeDocument/2006/relationships/hyperlink" Target="https://cpe.org.uk/our-news/action-required-cpcs-claim-period-change-from-1st-june/" TargetMode="External"/><Relationship Id="rId26" Type="http://schemas.openxmlformats.org/officeDocument/2006/relationships/hyperlink" Target="https://www.bloodpressureuk.org/know-your-numbers/" TargetMode="External"/><Relationship Id="rId21" Type="http://schemas.openxmlformats.org/officeDocument/2006/relationships/hyperlink" Target="https://cpe.org.uk/our-news/book-now-for-our-price-concessions-webinar/?fbclid=IwAR3pfzrF8P6cLVQhCsZjlYJDO7Q2Y4ZoBFuVh9Fh8l8tE-UbDqUY3moeZyA" TargetMode="External"/><Relationship Id="rId34" Type="http://schemas.openxmlformats.org/officeDocument/2006/relationships/hyperlink" Target="mailto:service.support@leics-lpc.co.uk" TargetMode="External"/><Relationship Id="rId7" Type="http://schemas.openxmlformats.org/officeDocument/2006/relationships/hyperlink" Target="https://cpe.org.uk/our-news/hypertension-case-finding-service-you-must-use-an-it-system-from-september/" TargetMode="External"/><Relationship Id="rId12" Type="http://schemas.openxmlformats.org/officeDocument/2006/relationships/hyperlink" Target="https://organisation.nhswebsite.nhs.uk/" TargetMode="External"/><Relationship Id="rId17" Type="http://schemas.openxmlformats.org/officeDocument/2006/relationships/hyperlink" Target="https://organisation.nhswebsite.nhs.uk/" TargetMode="External"/><Relationship Id="rId25" Type="http://schemas.openxmlformats.org/officeDocument/2006/relationships/hyperlink" Target="https://www.linkedin.com/in/community-pharmacy-leicestershire-and-rutland-577723276" TargetMode="External"/><Relationship Id="rId33" Type="http://schemas.openxmlformats.org/officeDocument/2006/relationships/hyperlink" Target="mailto:service.support@leics-lpc.co.u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ganisation.nhswebsite.nhs.uk/" TargetMode="External"/><Relationship Id="rId20" Type="http://schemas.openxmlformats.org/officeDocument/2006/relationships/hyperlink" Target="https://cpe.org.uk/our-news/youre-invited-pharmacy-owner-september-engagement-event/" TargetMode="External"/><Relationship Id="rId29" Type="http://schemas.openxmlformats.org/officeDocument/2006/relationships/hyperlink" Target="https://www.who.int/campaigns/world-patient-safety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anisation.nhswebsite.nhs.uk/" TargetMode="External"/><Relationship Id="rId24" Type="http://schemas.openxmlformats.org/officeDocument/2006/relationships/hyperlink" Target="https://www.instagram.com/communitypharmaciyllr/" TargetMode="External"/><Relationship Id="rId32" Type="http://schemas.openxmlformats.org/officeDocument/2006/relationships/hyperlink" Target="mailto:admin@leics-lpc.co.u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rganisation.nhswebsite.nhs.uk/" TargetMode="External"/><Relationship Id="rId23" Type="http://schemas.openxmlformats.org/officeDocument/2006/relationships/hyperlink" Target="https://www.facebook.com/profile.php?id=100083179608018" TargetMode="External"/><Relationship Id="rId28" Type="http://schemas.openxmlformats.org/officeDocument/2006/relationships/hyperlink" Target="https://www.organdonation.nhs.uk/get-involved/organ-donation-campaign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organisation.nhswebsite.nhs.uk/" TargetMode="External"/><Relationship Id="rId19" Type="http://schemas.openxmlformats.org/officeDocument/2006/relationships/hyperlink" Target="https://cpe.org.uk/?s=ssp&amp;post_type=all" TargetMode="External"/><Relationship Id="rId31" Type="http://schemas.openxmlformats.org/officeDocument/2006/relationships/hyperlink" Target="mailto:chiefofficer@leics-l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cestershire-rutland.communitypharmacy.org.uk/training-events/annual-general-meeting-2023/" TargetMode="External"/><Relationship Id="rId14" Type="http://schemas.openxmlformats.org/officeDocument/2006/relationships/hyperlink" Target="https://organisation.nhswebsite.nhs.uk/" TargetMode="External"/><Relationship Id="rId22" Type="http://schemas.openxmlformats.org/officeDocument/2006/relationships/hyperlink" Target="https://leicestershire-rutland.communitypharmacy.org.uk/training-events/training-development/contractors-open-house-surgery/" TargetMode="External"/><Relationship Id="rId27" Type="http://schemas.openxmlformats.org/officeDocument/2006/relationships/hyperlink" Target="https://www.nhsemployers.org/articles/suicide-prevention-and-postvention" TargetMode="External"/><Relationship Id="rId30" Type="http://schemas.openxmlformats.org/officeDocument/2006/relationships/hyperlink" Target="https://www.nhsemployers.org/events/calendar-national-campaigns" TargetMode="External"/><Relationship Id="rId35" Type="http://schemas.openxmlformats.org/officeDocument/2006/relationships/hyperlink" Target="mailto:servicedevelopmentlead@leicslpc.co.uk" TargetMode="External"/><Relationship Id="rId8" Type="http://schemas.openxmlformats.org/officeDocument/2006/relationships/hyperlink" Target="https://www.eventbrite.co.uk/e/community-pharmacy-leicestershire-and-rutland-annual-general-meeting-agm-tickets-693946060347?aff=oddtdtcreator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Shelton</dc:creator>
  <cp:lastModifiedBy>LLR LPC Administrator</cp:lastModifiedBy>
  <cp:revision>2</cp:revision>
  <cp:lastPrinted>2023-01-27T12:10:00Z</cp:lastPrinted>
  <dcterms:created xsi:type="dcterms:W3CDTF">2023-08-30T11:25:00Z</dcterms:created>
  <dcterms:modified xsi:type="dcterms:W3CDTF">2023-08-30T11:25:00Z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