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524" w14:textId="77777777" w:rsidR="00B060E7" w:rsidRDefault="00B060E7" w:rsidP="00B060E7">
      <w:pPr>
        <w:rPr>
          <w:b/>
          <w:bCs/>
          <w:u w:val="single"/>
        </w:rPr>
      </w:pPr>
      <w:r w:rsidRPr="00B060E7">
        <w:rPr>
          <w:b/>
          <w:bCs/>
          <w:u w:val="single"/>
        </w:rPr>
        <w:t>Important Update: EPS Nominations, Patient Choice and Service Direction Guidance</w:t>
      </w:r>
    </w:p>
    <w:p w14:paraId="7C7A855C" w14:textId="4F98A01E" w:rsidR="00B060E7" w:rsidRPr="00B060E7" w:rsidRDefault="00B060E7" w:rsidP="00B060E7">
      <w:pPr>
        <w:rPr>
          <w:b/>
          <w:bCs/>
          <w:u w:val="single"/>
        </w:rPr>
      </w:pPr>
      <w:r w:rsidRPr="00B060E7">
        <w:rPr>
          <w:b/>
          <w:bCs/>
          <w:u w:val="single"/>
        </w:rPr>
        <w:t xml:space="preserve">FAO: ALL LLR Pharmacy Teams </w:t>
      </w:r>
    </w:p>
    <w:p w14:paraId="035B062C" w14:textId="77777777" w:rsidR="00B060E7" w:rsidRPr="00B060E7" w:rsidRDefault="00B060E7" w:rsidP="00B060E7"/>
    <w:p w14:paraId="56088140" w14:textId="77777777" w:rsidR="00B060E7" w:rsidRPr="00B060E7" w:rsidRDefault="00B060E7" w:rsidP="00B060E7">
      <w:r w:rsidRPr="00B060E7">
        <w:t xml:space="preserve">We would like to make you aware of recent national developments relating to Electronic Prescription Service (EPS) pharmacy nominations and service direction, following updated guidance and work being led by Community Pharmacy England (CPE) and NHS England. </w:t>
      </w:r>
      <w:hyperlink r:id="rId5" w:history="1">
        <w:r w:rsidRPr="00B060E7">
          <w:rPr>
            <w:rStyle w:val="Hyperlink"/>
          </w:rPr>
          <w:t>Clamping down on inappropriate EPS nomination and service direction - Community Pharmacy England</w:t>
        </w:r>
      </w:hyperlink>
    </w:p>
    <w:p w14:paraId="1F536817" w14:textId="77777777" w:rsidR="00B060E7" w:rsidRPr="00B060E7" w:rsidRDefault="00B060E7" w:rsidP="00B060E7"/>
    <w:p w14:paraId="5DCD0D26" w14:textId="77777777" w:rsidR="00B060E7" w:rsidRPr="00B060E7" w:rsidRDefault="00B060E7" w:rsidP="00B060E7">
      <w:r w:rsidRPr="00B060E7">
        <w:t>CPE has been working with NHS England, the British Medical Association (BMA) and pharmacy IT system suppliers to address concerns around inappropriate EPS nomination practices, including instances where nominations may have been set or changed without explicit patient consent or where patients may have been directed towards a particular pharmacy service provider.</w:t>
      </w:r>
    </w:p>
    <w:p w14:paraId="1E7E5FFF" w14:textId="77777777" w:rsidR="00B060E7" w:rsidRPr="00B060E7" w:rsidRDefault="00B060E7" w:rsidP="00B060E7">
      <w:r w:rsidRPr="00B060E7">
        <w:t>Key Principles</w:t>
      </w:r>
    </w:p>
    <w:p w14:paraId="71357068" w14:textId="77777777" w:rsidR="00B060E7" w:rsidRPr="00B060E7" w:rsidRDefault="00B060E7" w:rsidP="00B060E7">
      <w:r w:rsidRPr="00B060E7">
        <w:t>Locally, the team and I do occasionally receive queries and concerns relating to EPS nominations, so I felt it would be helpful to share this national update and reminder with contractors.</w:t>
      </w:r>
    </w:p>
    <w:p w14:paraId="2A263D85" w14:textId="77777777" w:rsidR="00B060E7" w:rsidRPr="00B060E7" w:rsidRDefault="00B060E7" w:rsidP="00B060E7"/>
    <w:p w14:paraId="1812D4FC" w14:textId="77777777" w:rsidR="00B060E7" w:rsidRPr="00B060E7" w:rsidRDefault="00B060E7" w:rsidP="00B060E7">
      <w:r w:rsidRPr="00B060E7">
        <w:t>The updated national guidance reinforces that:</w:t>
      </w:r>
    </w:p>
    <w:p w14:paraId="25818DD5" w14:textId="77777777" w:rsidR="00B060E7" w:rsidRPr="00B060E7" w:rsidRDefault="00B060E7" w:rsidP="00B060E7">
      <w:pPr>
        <w:numPr>
          <w:ilvl w:val="0"/>
          <w:numId w:val="1"/>
        </w:numPr>
      </w:pPr>
      <w:r w:rsidRPr="00B060E7">
        <w:t>Patient choice must remain central to EPS nominations.</w:t>
      </w:r>
    </w:p>
    <w:p w14:paraId="762AE663" w14:textId="77777777" w:rsidR="00B060E7" w:rsidRPr="00B060E7" w:rsidRDefault="00B060E7" w:rsidP="00B060E7">
      <w:pPr>
        <w:numPr>
          <w:ilvl w:val="0"/>
          <w:numId w:val="1"/>
        </w:numPr>
      </w:pPr>
      <w:r w:rsidRPr="00B060E7">
        <w:t>Patients must be able to freely choose or change their nominated pharmacy at any time.</w:t>
      </w:r>
    </w:p>
    <w:p w14:paraId="66D56524" w14:textId="77777777" w:rsidR="00B060E7" w:rsidRPr="00B060E7" w:rsidRDefault="00B060E7" w:rsidP="00B060E7">
      <w:pPr>
        <w:numPr>
          <w:ilvl w:val="0"/>
          <w:numId w:val="1"/>
        </w:numPr>
      </w:pPr>
      <w:r w:rsidRPr="00B060E7">
        <w:t>Nominations must not be set, changed or influenced without patient consent.</w:t>
      </w:r>
    </w:p>
    <w:p w14:paraId="2395F59D" w14:textId="77777777" w:rsidR="00B060E7" w:rsidRPr="00B060E7" w:rsidRDefault="00B060E7" w:rsidP="00B060E7">
      <w:pPr>
        <w:numPr>
          <w:ilvl w:val="0"/>
          <w:numId w:val="1"/>
        </w:numPr>
      </w:pPr>
      <w:r w:rsidRPr="00B060E7">
        <w:t>Technical or digital tools must not automatically assign or re-nominate pharmacies in a way that could undermine patient choice.</w:t>
      </w:r>
    </w:p>
    <w:p w14:paraId="4AFC5237" w14:textId="77777777" w:rsidR="00B060E7" w:rsidRPr="00B060E7" w:rsidRDefault="00B060E7" w:rsidP="00B060E7">
      <w:pPr>
        <w:numPr>
          <w:ilvl w:val="0"/>
          <w:numId w:val="1"/>
        </w:numPr>
      </w:pPr>
      <w:r w:rsidRPr="00B060E7">
        <w:t>Referral and triage tools used for pharmacy services must offer patients a full choice of providers.</w:t>
      </w:r>
    </w:p>
    <w:p w14:paraId="4CEADB13" w14:textId="77777777" w:rsidR="00B060E7" w:rsidRPr="00B060E7" w:rsidRDefault="00B060E7" w:rsidP="00B060E7"/>
    <w:p w14:paraId="68E35299" w14:textId="77777777" w:rsidR="00B060E7" w:rsidRPr="00B060E7" w:rsidRDefault="00B060E7" w:rsidP="00B060E7">
      <w:r w:rsidRPr="00B060E7">
        <w:t>Community Pharmacy England and NHS England are taking several steps to strengthen compliance, including:</w:t>
      </w:r>
    </w:p>
    <w:p w14:paraId="73E4AA98" w14:textId="77777777" w:rsidR="00B060E7" w:rsidRPr="00B060E7" w:rsidRDefault="00B060E7" w:rsidP="00B060E7">
      <w:pPr>
        <w:numPr>
          <w:ilvl w:val="0"/>
          <w:numId w:val="2"/>
        </w:numPr>
      </w:pPr>
      <w:r w:rsidRPr="00B060E7">
        <w:lastRenderedPageBreak/>
        <w:t>Updated EPS nomination protocols and guidance for pharmacy teams and IT suppliers.</w:t>
      </w:r>
    </w:p>
    <w:p w14:paraId="26718274" w14:textId="77777777" w:rsidR="00B060E7" w:rsidRPr="00B060E7" w:rsidRDefault="00B060E7" w:rsidP="00B060E7">
      <w:pPr>
        <w:numPr>
          <w:ilvl w:val="0"/>
          <w:numId w:val="2"/>
        </w:numPr>
      </w:pPr>
      <w:r w:rsidRPr="00B060E7">
        <w:t>Work with IT suppliers to remove any non-compliant system functionality.</w:t>
      </w:r>
    </w:p>
    <w:p w14:paraId="6BA67215" w14:textId="77777777" w:rsidR="00B060E7" w:rsidRPr="00B060E7" w:rsidRDefault="00B060E7" w:rsidP="00B060E7">
      <w:pPr>
        <w:numPr>
          <w:ilvl w:val="0"/>
          <w:numId w:val="2"/>
        </w:numPr>
      </w:pPr>
      <w:r w:rsidRPr="00B060E7">
        <w:t>Revision of joint guidance with the BMA relating to prescription and service direction.</w:t>
      </w:r>
    </w:p>
    <w:p w14:paraId="6B737694" w14:textId="77777777" w:rsidR="00B060E7" w:rsidRPr="00B060E7" w:rsidRDefault="00B060E7" w:rsidP="00B060E7">
      <w:pPr>
        <w:numPr>
          <w:ilvl w:val="0"/>
          <w:numId w:val="2"/>
        </w:numPr>
      </w:pPr>
      <w:r w:rsidRPr="00B060E7">
        <w:t>Review of Terms of Service provisions relating to nominations and inducements.</w:t>
      </w:r>
    </w:p>
    <w:p w14:paraId="4798FBC9" w14:textId="77777777" w:rsidR="00B060E7" w:rsidRPr="00B060E7" w:rsidRDefault="00B060E7" w:rsidP="00B060E7">
      <w:pPr>
        <w:numPr>
          <w:ilvl w:val="0"/>
          <w:numId w:val="2"/>
        </w:numPr>
      </w:pPr>
      <w:r w:rsidRPr="00B060E7">
        <w:t>Development of clearer patient information resources to support informed choice.</w:t>
      </w:r>
    </w:p>
    <w:p w14:paraId="530016C6" w14:textId="77777777" w:rsidR="00B060E7" w:rsidRPr="00B060E7" w:rsidRDefault="00B060E7" w:rsidP="00B060E7"/>
    <w:p w14:paraId="45769214" w14:textId="77777777" w:rsidR="00B060E7" w:rsidRPr="00B060E7" w:rsidRDefault="00B060E7" w:rsidP="00B060E7">
      <w:r w:rsidRPr="00B060E7">
        <w:t>In addition, the 2026/27 GP Contract will include strengthened provisions requiring GP practices to reconfirm a patient’s nominated pharmacy when issuing a new (non-repeat) prescription, further reinforcing the importance of patient choice.</w:t>
      </w:r>
    </w:p>
    <w:p w14:paraId="70CEF589" w14:textId="77777777" w:rsidR="00B060E7" w:rsidRPr="00B060E7" w:rsidRDefault="00B060E7" w:rsidP="00B060E7"/>
    <w:p w14:paraId="4EAE74AA" w14:textId="77777777" w:rsidR="00B060E7" w:rsidRPr="00B060E7" w:rsidRDefault="00B060E7" w:rsidP="00B060E7">
      <w:r w:rsidRPr="00B060E7">
        <w:t>Contractors and pharmacy teams should ensure that:</w:t>
      </w:r>
    </w:p>
    <w:p w14:paraId="15BE8D2E" w14:textId="77777777" w:rsidR="00B060E7" w:rsidRPr="00B060E7" w:rsidRDefault="00B060E7" w:rsidP="00B060E7">
      <w:pPr>
        <w:numPr>
          <w:ilvl w:val="0"/>
          <w:numId w:val="3"/>
        </w:numPr>
      </w:pPr>
      <w:r w:rsidRPr="00B060E7">
        <w:t>EPS nominations are only set or changed with explicit patient consent.</w:t>
      </w:r>
    </w:p>
    <w:p w14:paraId="4A3AD502" w14:textId="77777777" w:rsidR="00B060E7" w:rsidRPr="00B060E7" w:rsidRDefault="00B060E7" w:rsidP="00B060E7">
      <w:pPr>
        <w:numPr>
          <w:ilvl w:val="0"/>
          <w:numId w:val="3"/>
        </w:numPr>
      </w:pPr>
      <w:r w:rsidRPr="00B060E7">
        <w:t>Patients are not pressured or directed towards a particular pharmacy service.</w:t>
      </w:r>
    </w:p>
    <w:p w14:paraId="4E0A8983" w14:textId="77777777" w:rsidR="00B060E7" w:rsidRPr="00B060E7" w:rsidRDefault="00B060E7" w:rsidP="00B060E7">
      <w:pPr>
        <w:numPr>
          <w:ilvl w:val="0"/>
          <w:numId w:val="3"/>
        </w:numPr>
      </w:pPr>
      <w:r w:rsidRPr="00B060E7">
        <w:t>Local processes and staff training support transparent and patient-led nomination decisions.</w:t>
      </w:r>
    </w:p>
    <w:p w14:paraId="054A53FD" w14:textId="77777777" w:rsidR="00B060E7" w:rsidRPr="00B060E7" w:rsidRDefault="00B060E7" w:rsidP="00B060E7">
      <w:pPr>
        <w:numPr>
          <w:ilvl w:val="0"/>
          <w:numId w:val="3"/>
        </w:numPr>
      </w:pPr>
      <w:r w:rsidRPr="00B060E7">
        <w:t>Any nomination activity complies with Terms of Service requirements.</w:t>
      </w:r>
    </w:p>
    <w:p w14:paraId="0F84CBE2" w14:textId="77777777" w:rsidR="00B060E7" w:rsidRPr="00B060E7" w:rsidRDefault="00B060E7" w:rsidP="00B060E7"/>
    <w:p w14:paraId="748E4EB4" w14:textId="77777777" w:rsidR="00B060E7" w:rsidRPr="00B060E7" w:rsidRDefault="00B060E7" w:rsidP="00B060E7">
      <w:r w:rsidRPr="00B060E7">
        <w:t>Further updated guidance from NHS England on Patient Nomination Protocols is expected to be published shortly and will come into effect immediately once issued.</w:t>
      </w:r>
    </w:p>
    <w:p w14:paraId="126E32AC" w14:textId="77777777" w:rsidR="00B060E7" w:rsidRPr="00B060E7" w:rsidRDefault="00B060E7" w:rsidP="00B060E7">
      <w:r w:rsidRPr="00B060E7">
        <w:t>We encourage all pharmacy teams and pharmacy contractors to review their local processes to ensure compliance and to continue supporting the principle of patient choice and trust within community pharmacy services.</w:t>
      </w:r>
    </w:p>
    <w:p w14:paraId="289ABDE3" w14:textId="77777777" w:rsidR="00B060E7" w:rsidRPr="00B060E7" w:rsidRDefault="00B060E7" w:rsidP="00B060E7">
      <w:r w:rsidRPr="00B060E7">
        <w:t>If further updates or clarifications are issued nationally, we will share these with you.</w:t>
      </w:r>
    </w:p>
    <w:p w14:paraId="5373794B" w14:textId="77777777" w:rsidR="00B060E7" w:rsidRPr="00B060E7" w:rsidRDefault="00B060E7" w:rsidP="00B060E7"/>
    <w:p w14:paraId="10010532" w14:textId="77777777" w:rsidR="00B060E7" w:rsidRPr="00B060E7" w:rsidRDefault="00B060E7" w:rsidP="00B060E7"/>
    <w:p w14:paraId="12310591" w14:textId="77777777" w:rsidR="00B060E7" w:rsidRPr="00B060E7" w:rsidRDefault="00B060E7" w:rsidP="00B060E7">
      <w:r w:rsidRPr="00B060E7">
        <w:t xml:space="preserve">Kind Regards </w:t>
      </w:r>
    </w:p>
    <w:p w14:paraId="7DAF3A34" w14:textId="77777777" w:rsidR="00B060E7" w:rsidRPr="00B060E7" w:rsidRDefault="00B060E7" w:rsidP="00B060E7">
      <w:r w:rsidRPr="00B060E7">
        <w:t xml:space="preserve">Rajshri Owen </w:t>
      </w:r>
      <w:proofErr w:type="spellStart"/>
      <w:r w:rsidRPr="00B060E7">
        <w:t>MRPharmS</w:t>
      </w:r>
      <w:proofErr w:type="spellEnd"/>
    </w:p>
    <w:p w14:paraId="4658D560" w14:textId="77777777" w:rsidR="00B060E7" w:rsidRPr="00B060E7" w:rsidRDefault="00B060E7" w:rsidP="00B060E7">
      <w:r w:rsidRPr="00B060E7">
        <w:t xml:space="preserve">Chief Officer </w:t>
      </w:r>
    </w:p>
    <w:p w14:paraId="58FEA0B6" w14:textId="2476338B" w:rsidR="00B060E7" w:rsidRPr="00B060E7" w:rsidRDefault="00B060E7" w:rsidP="00B060E7">
      <w:r w:rsidRPr="00B060E7">
        <w:lastRenderedPageBreak/>
        <w:drawing>
          <wp:inline distT="0" distB="0" distL="0" distR="0" wp14:anchorId="56CF71FA" wp14:editId="304A358F">
            <wp:extent cx="819150" cy="800100"/>
            <wp:effectExtent l="0" t="0" r="0" b="0"/>
            <wp:docPr id="455296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r w:rsidRPr="00B060E7">
        <w:drawing>
          <wp:inline distT="0" distB="0" distL="0" distR="0" wp14:anchorId="6F547A94" wp14:editId="48C10784">
            <wp:extent cx="1733550" cy="647700"/>
            <wp:effectExtent l="0" t="0" r="0" b="0"/>
            <wp:docPr id="384401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33550" cy="647700"/>
                    </a:xfrm>
                    <a:prstGeom prst="rect">
                      <a:avLst/>
                    </a:prstGeom>
                    <a:noFill/>
                    <a:ln>
                      <a:noFill/>
                    </a:ln>
                  </pic:spPr>
                </pic:pic>
              </a:graphicData>
            </a:graphic>
          </wp:inline>
        </w:drawing>
      </w:r>
      <w:r w:rsidRPr="00B060E7">
        <w:t> </w:t>
      </w:r>
      <w:r w:rsidRPr="00B060E7">
        <w:drawing>
          <wp:inline distT="0" distB="0" distL="0" distR="0" wp14:anchorId="16EF7C26" wp14:editId="0FF1C28B">
            <wp:extent cx="1847850" cy="692150"/>
            <wp:effectExtent l="0" t="0" r="0" b="12700"/>
            <wp:docPr id="36727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47850" cy="692150"/>
                    </a:xfrm>
                    <a:prstGeom prst="rect">
                      <a:avLst/>
                    </a:prstGeom>
                    <a:noFill/>
                    <a:ln>
                      <a:noFill/>
                    </a:ln>
                  </pic:spPr>
                </pic:pic>
              </a:graphicData>
            </a:graphic>
          </wp:inline>
        </w:drawing>
      </w:r>
    </w:p>
    <w:p w14:paraId="3B6841FB" w14:textId="77777777" w:rsidR="00B060E7" w:rsidRPr="00B060E7" w:rsidRDefault="00B060E7" w:rsidP="00B060E7"/>
    <w:p w14:paraId="29B80830" w14:textId="77777777" w:rsidR="00B060E7" w:rsidRPr="00B060E7" w:rsidRDefault="00B060E7" w:rsidP="00B060E7">
      <w:r w:rsidRPr="00B060E7">
        <w:rPr>
          <w:b/>
          <w:bCs/>
        </w:rPr>
        <w:t xml:space="preserve">Please </w:t>
      </w:r>
      <w:proofErr w:type="gramStart"/>
      <w:r w:rsidRPr="00B060E7">
        <w:rPr>
          <w:b/>
          <w:bCs/>
        </w:rPr>
        <w:t>note:</w:t>
      </w:r>
      <w:proofErr w:type="gramEnd"/>
      <w:r w:rsidRPr="00B060E7">
        <w:rPr>
          <w:b/>
          <w:bCs/>
        </w:rPr>
        <w:t xml:space="preserve"> I work Monday, Wednesday, Thursday and Friday.  </w:t>
      </w:r>
    </w:p>
    <w:p w14:paraId="141ED04A" w14:textId="77777777" w:rsidR="00B060E7" w:rsidRPr="00B060E7" w:rsidRDefault="00B060E7" w:rsidP="00B060E7">
      <w:r w:rsidRPr="00B060E7">
        <w:rPr>
          <w:b/>
          <w:bCs/>
        </w:rPr>
        <w:t>Mobile</w:t>
      </w:r>
      <w:r w:rsidRPr="00B060E7">
        <w:t xml:space="preserve"> 07984 465387</w:t>
      </w:r>
    </w:p>
    <w:p w14:paraId="7D2958DB" w14:textId="77777777" w:rsidR="00B060E7" w:rsidRPr="00B060E7" w:rsidRDefault="00B060E7" w:rsidP="00B060E7">
      <w:r w:rsidRPr="00B060E7">
        <w:rPr>
          <w:b/>
          <w:bCs/>
        </w:rPr>
        <w:t>Email</w:t>
      </w:r>
      <w:r w:rsidRPr="00B060E7">
        <w:t xml:space="preserve"> </w:t>
      </w:r>
      <w:hyperlink r:id="rId12" w:history="1">
        <w:r w:rsidRPr="00B060E7">
          <w:rPr>
            <w:rStyle w:val="Hyperlink"/>
          </w:rPr>
          <w:t>chiefofficer@leics-lpc.co.uk</w:t>
        </w:r>
      </w:hyperlink>
    </w:p>
    <w:p w14:paraId="3642CFAE" w14:textId="77777777" w:rsidR="00B060E7" w:rsidRPr="00B060E7" w:rsidRDefault="00B060E7" w:rsidP="00B060E7">
      <w:r w:rsidRPr="00B060E7">
        <w:rPr>
          <w:b/>
          <w:bCs/>
        </w:rPr>
        <w:t>Website</w:t>
      </w:r>
      <w:r w:rsidRPr="00B060E7">
        <w:t xml:space="preserve"> </w:t>
      </w:r>
      <w:hyperlink r:id="rId13" w:history="1">
        <w:r w:rsidRPr="00B060E7">
          <w:rPr>
            <w:rStyle w:val="Hyperlink"/>
          </w:rPr>
          <w:t>Community Pharmacy Leicestershire and Rutland – Community Pharmacy Leicestershire and Rutland</w:t>
        </w:r>
      </w:hyperlink>
    </w:p>
    <w:p w14:paraId="3C262572" w14:textId="77777777" w:rsidR="00B060E7" w:rsidRPr="00B060E7" w:rsidRDefault="00B060E7" w:rsidP="00B060E7"/>
    <w:p w14:paraId="6807DFFD" w14:textId="77777777" w:rsidR="004623B0" w:rsidRDefault="004623B0"/>
    <w:sectPr w:rsidR="0046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4DAD"/>
    <w:multiLevelType w:val="multilevel"/>
    <w:tmpl w:val="3F32C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DDC"/>
    <w:multiLevelType w:val="multilevel"/>
    <w:tmpl w:val="A008F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75274"/>
    <w:multiLevelType w:val="multilevel"/>
    <w:tmpl w:val="D984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9555285">
    <w:abstractNumId w:val="0"/>
    <w:lvlOverride w:ilvl="0"/>
    <w:lvlOverride w:ilvl="1"/>
    <w:lvlOverride w:ilvl="2"/>
    <w:lvlOverride w:ilvl="3"/>
    <w:lvlOverride w:ilvl="4"/>
    <w:lvlOverride w:ilvl="5"/>
    <w:lvlOverride w:ilvl="6"/>
    <w:lvlOverride w:ilvl="7"/>
    <w:lvlOverride w:ilvl="8"/>
  </w:num>
  <w:num w:numId="2" w16cid:durableId="935402415">
    <w:abstractNumId w:val="2"/>
    <w:lvlOverride w:ilvl="0"/>
    <w:lvlOverride w:ilvl="1"/>
    <w:lvlOverride w:ilvl="2"/>
    <w:lvlOverride w:ilvl="3"/>
    <w:lvlOverride w:ilvl="4"/>
    <w:lvlOverride w:ilvl="5"/>
    <w:lvlOverride w:ilvl="6"/>
    <w:lvlOverride w:ilvl="7"/>
    <w:lvlOverride w:ilvl="8"/>
  </w:num>
  <w:num w:numId="3" w16cid:durableId="14285052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E7"/>
    <w:rsid w:val="004623B0"/>
    <w:rsid w:val="005E4628"/>
    <w:rsid w:val="00B060E7"/>
    <w:rsid w:val="00EA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8ED2"/>
  <w15:chartTrackingRefBased/>
  <w15:docId w15:val="{5AC8B42B-FFE7-47FF-9015-1FD36352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0E7"/>
    <w:rPr>
      <w:rFonts w:eastAsiaTheme="majorEastAsia" w:cstheme="majorBidi"/>
      <w:color w:val="272727" w:themeColor="text1" w:themeTint="D8"/>
    </w:rPr>
  </w:style>
  <w:style w:type="paragraph" w:styleId="Title">
    <w:name w:val="Title"/>
    <w:basedOn w:val="Normal"/>
    <w:next w:val="Normal"/>
    <w:link w:val="TitleChar"/>
    <w:uiPriority w:val="10"/>
    <w:qFormat/>
    <w:rsid w:val="00B06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0E7"/>
    <w:pPr>
      <w:spacing w:before="160"/>
      <w:jc w:val="center"/>
    </w:pPr>
    <w:rPr>
      <w:i/>
      <w:iCs/>
      <w:color w:val="404040" w:themeColor="text1" w:themeTint="BF"/>
    </w:rPr>
  </w:style>
  <w:style w:type="character" w:customStyle="1" w:styleId="QuoteChar">
    <w:name w:val="Quote Char"/>
    <w:basedOn w:val="DefaultParagraphFont"/>
    <w:link w:val="Quote"/>
    <w:uiPriority w:val="29"/>
    <w:rsid w:val="00B060E7"/>
    <w:rPr>
      <w:i/>
      <w:iCs/>
      <w:color w:val="404040" w:themeColor="text1" w:themeTint="BF"/>
    </w:rPr>
  </w:style>
  <w:style w:type="paragraph" w:styleId="ListParagraph">
    <w:name w:val="List Paragraph"/>
    <w:basedOn w:val="Normal"/>
    <w:uiPriority w:val="34"/>
    <w:qFormat/>
    <w:rsid w:val="00B060E7"/>
    <w:pPr>
      <w:ind w:left="720"/>
      <w:contextualSpacing/>
    </w:pPr>
  </w:style>
  <w:style w:type="character" w:styleId="IntenseEmphasis">
    <w:name w:val="Intense Emphasis"/>
    <w:basedOn w:val="DefaultParagraphFont"/>
    <w:uiPriority w:val="21"/>
    <w:qFormat/>
    <w:rsid w:val="00B060E7"/>
    <w:rPr>
      <w:i/>
      <w:iCs/>
      <w:color w:val="0F4761" w:themeColor="accent1" w:themeShade="BF"/>
    </w:rPr>
  </w:style>
  <w:style w:type="paragraph" w:styleId="IntenseQuote">
    <w:name w:val="Intense Quote"/>
    <w:basedOn w:val="Normal"/>
    <w:next w:val="Normal"/>
    <w:link w:val="IntenseQuoteChar"/>
    <w:uiPriority w:val="30"/>
    <w:qFormat/>
    <w:rsid w:val="00B06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0E7"/>
    <w:rPr>
      <w:i/>
      <w:iCs/>
      <w:color w:val="0F4761" w:themeColor="accent1" w:themeShade="BF"/>
    </w:rPr>
  </w:style>
  <w:style w:type="character" w:styleId="IntenseReference">
    <w:name w:val="Intense Reference"/>
    <w:basedOn w:val="DefaultParagraphFont"/>
    <w:uiPriority w:val="32"/>
    <w:qFormat/>
    <w:rsid w:val="00B060E7"/>
    <w:rPr>
      <w:b/>
      <w:bCs/>
      <w:smallCaps/>
      <w:color w:val="0F4761" w:themeColor="accent1" w:themeShade="BF"/>
      <w:spacing w:val="5"/>
    </w:rPr>
  </w:style>
  <w:style w:type="character" w:styleId="Hyperlink">
    <w:name w:val="Hyperlink"/>
    <w:basedOn w:val="DefaultParagraphFont"/>
    <w:uiPriority w:val="99"/>
    <w:unhideWhenUsed/>
    <w:rsid w:val="00B060E7"/>
    <w:rPr>
      <w:color w:val="467886" w:themeColor="hyperlink"/>
      <w:u w:val="single"/>
    </w:rPr>
  </w:style>
  <w:style w:type="character" w:styleId="UnresolvedMention">
    <w:name w:val="Unresolved Mention"/>
    <w:basedOn w:val="DefaultParagraphFont"/>
    <w:uiPriority w:val="99"/>
    <w:semiHidden/>
    <w:unhideWhenUsed/>
    <w:rsid w:val="00B0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eicestershire-rutland.communitypharmacy.org.uk/" TargetMode="External"/><Relationship Id="rId3" Type="http://schemas.openxmlformats.org/officeDocument/2006/relationships/settings" Target="settings.xml"/><Relationship Id="rId7" Type="http://schemas.openxmlformats.org/officeDocument/2006/relationships/image" Target="cid:image001.jpg@01DCABB7.DC0719D0" TargetMode="External"/><Relationship Id="rId12" Type="http://schemas.openxmlformats.org/officeDocument/2006/relationships/hyperlink" Target="mailto:chiefofficer@leics-l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3.png@01DCABB7.DC0719D0" TargetMode="External"/><Relationship Id="rId5" Type="http://schemas.openxmlformats.org/officeDocument/2006/relationships/hyperlink" Target="https://cpe.org.uk/our-news/clamping-down-on-inappropriate-eps-nomination-and-service-direction/"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jpg@01DCABB7.DC0719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OfficeLicence</dc:creator>
  <cp:keywords/>
  <dc:description/>
  <cp:lastModifiedBy>OfficeLicence</cp:lastModifiedBy>
  <cp:revision>1</cp:revision>
  <dcterms:created xsi:type="dcterms:W3CDTF">2026-03-04T10:08:00Z</dcterms:created>
  <dcterms:modified xsi:type="dcterms:W3CDTF">2026-03-04T10:09:00Z</dcterms:modified>
</cp:coreProperties>
</file>